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media/rId27.svg" ContentType="image/svg+xml"/>
  <Override PartName="/word/media/rId32.svg" ContentType="image/svg+xml"/>
  <Override PartName="/word/media/rId37.svg" ContentType="image/svg+xml"/>
  <Override PartName="/word/media/rId52.svg" ContentType="image/svg+xml"/>
  <Override PartName="/word/media/rId62.svg" ContentType="image/svg+xml"/>
  <Override PartName="/word/media/rId30.png" ContentType="image/png"/>
  <Override PartName="/word/media/rId35.png" ContentType="image/png"/>
  <Override PartName="/word/media/rId40.png" ContentType="image/png"/>
  <Override PartName="/word/media/rId55.png" ContentType="image/png"/>
  <Override PartName="/word/media/rId6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ytu"/>
      </w:pPr>
      <w:r>
        <w:t xml:space="preserve">ESG</w:t>
      </w:r>
      <w:r>
        <w:t xml:space="preserve"> </w:t>
      </w:r>
      <w:r>
        <w:t xml:space="preserve">factors</w:t>
      </w:r>
      <w:r>
        <w:t xml:space="preserve"> </w:t>
      </w:r>
      <w:r>
        <w:t xml:space="preserve">impact</w:t>
      </w:r>
      <w:r>
        <w:t xml:space="preserve"> </w:t>
      </w:r>
      <w:r>
        <w:t xml:space="preserve">on</w:t>
      </w:r>
      <w:r>
        <w:t xml:space="preserve"> </w:t>
      </w:r>
      <w:r>
        <w:t xml:space="preserve">non-performing</w:t>
      </w:r>
      <w:r>
        <w:t xml:space="preserve"> </w:t>
      </w:r>
      <w:r>
        <w:t xml:space="preserve">loans</w:t>
      </w:r>
      <w:r>
        <w:t xml:space="preserve"> </w:t>
      </w:r>
      <w:r>
        <w:t xml:space="preserve">in</w:t>
      </w:r>
      <w:r>
        <w:t xml:space="preserve"> </w:t>
      </w:r>
      <w:r>
        <w:t xml:space="preserve">Poland</w:t>
      </w:r>
    </w:p>
    <w:p>
      <w:pPr>
        <w:pStyle w:val="Author"/>
      </w:pPr>
      <w:r>
        <w:t xml:space="preserve">Edyta</w:t>
      </w:r>
      <w:r>
        <w:t xml:space="preserve"> </w:t>
      </w:r>
      <w:r>
        <w:t xml:space="preserve">Cegielska</w:t>
      </w:r>
    </w:p>
    <w:p>
      <w:pPr>
        <w:pStyle w:val="Author"/>
      </w:pPr>
      <w:r>
        <w:t xml:space="preserve">Piotr</w:t>
      </w:r>
      <w:r>
        <w:t xml:space="preserve"> </w:t>
      </w:r>
      <w:r>
        <w:t xml:space="preserve">Kuszewski</w:t>
      </w:r>
    </w:p>
    <w:p>
      <w:pPr>
        <w:pStyle w:val="AbstractTitle"/>
      </w:pPr>
      <w:r>
        <w:t xml:space="preserve">Abstract</w:t>
      </w:r>
    </w:p>
    <w:p>
      <w:pPr>
        <w:pStyle w:val="Abstract"/>
      </w:pPr>
      <w:r>
        <w:t xml:space="preserve">This</w:t>
      </w:r>
      <w:r>
        <w:t xml:space="preserve"> </w:t>
      </w:r>
      <w:r>
        <w:t xml:space="preserve">paper</w:t>
      </w:r>
      <w:r>
        <w:t xml:space="preserve"> </w:t>
      </w:r>
      <w:r>
        <w:t xml:space="preserve">contributes</w:t>
      </w:r>
      <w:r>
        <w:t xml:space="preserve"> </w:t>
      </w:r>
      <w:r>
        <w:t xml:space="preserve">to</w:t>
      </w:r>
      <w:r>
        <w:t xml:space="preserve"> </w:t>
      </w:r>
      <w:r>
        <w:t xml:space="preserve">the</w:t>
      </w:r>
      <w:r>
        <w:t xml:space="preserve"> </w:t>
      </w:r>
      <w:r>
        <w:t xml:space="preserve">discussion</w:t>
      </w:r>
      <w:r>
        <w:t xml:space="preserve"> </w:t>
      </w:r>
      <w:r>
        <w:t xml:space="preserve">on</w:t>
      </w:r>
      <w:r>
        <w:t xml:space="preserve"> </w:t>
      </w:r>
      <w:r>
        <w:t xml:space="preserve">the</w:t>
      </w:r>
      <w:r>
        <w:t xml:space="preserve"> </w:t>
      </w:r>
      <w:r>
        <w:t xml:space="preserve">relationship</w:t>
      </w:r>
      <w:r>
        <w:t xml:space="preserve"> </w:t>
      </w:r>
      <w:r>
        <w:t xml:space="preserve">between</w:t>
      </w:r>
      <w:r>
        <w:t xml:space="preserve"> </w:t>
      </w:r>
      <w:r>
        <w:t xml:space="preserve">a</w:t>
      </w:r>
      <w:r>
        <w:t xml:space="preserve"> </w:t>
      </w:r>
      <w:r>
        <w:t xml:space="preserve">bank’s</w:t>
      </w:r>
      <w:r>
        <w:t xml:space="preserve"> </w:t>
      </w:r>
      <w:r>
        <w:t xml:space="preserve">performance</w:t>
      </w:r>
      <w:r>
        <w:t xml:space="preserve"> </w:t>
      </w:r>
      <w:r>
        <w:t xml:space="preserve">attributed</w:t>
      </w:r>
      <w:r>
        <w:t xml:space="preserve"> </w:t>
      </w:r>
      <w:r>
        <w:t xml:space="preserve">to</w:t>
      </w:r>
      <w:r>
        <w:t xml:space="preserve"> </w:t>
      </w:r>
      <w:r>
        <w:t xml:space="preserve">non-performing</w:t>
      </w:r>
      <w:r>
        <w:t xml:space="preserve"> </w:t>
      </w:r>
      <w:r>
        <w:t xml:space="preserve">loans</w:t>
      </w:r>
      <w:r>
        <w:t xml:space="preserve"> </w:t>
      </w:r>
      <w:r>
        <w:t xml:space="preserve">(NPL)</w:t>
      </w:r>
      <w:r>
        <w:t xml:space="preserve"> </w:t>
      </w:r>
      <w:r>
        <w:t xml:space="preserve">and</w:t>
      </w:r>
      <w:r>
        <w:t xml:space="preserve"> </w:t>
      </w:r>
      <w:r>
        <w:t xml:space="preserve">its</w:t>
      </w:r>
      <w:r>
        <w:t xml:space="preserve"> </w:t>
      </w:r>
      <w:r>
        <w:t xml:space="preserve">ESG</w:t>
      </w:r>
      <w:r>
        <w:t xml:space="preserve"> </w:t>
      </w:r>
      <w:r>
        <w:t xml:space="preserve">(environmental,</w:t>
      </w:r>
      <w:r>
        <w:t xml:space="preserve"> </w:t>
      </w:r>
      <w:r>
        <w:t xml:space="preserve">social,</w:t>
      </w:r>
      <w:r>
        <w:t xml:space="preserve"> </w:t>
      </w:r>
      <w:r>
        <w:t xml:space="preserve">and</w:t>
      </w:r>
      <w:r>
        <w:t xml:space="preserve"> </w:t>
      </w:r>
      <w:r>
        <w:t xml:space="preserve">governance)</w:t>
      </w:r>
      <w:r>
        <w:t xml:space="preserve"> </w:t>
      </w:r>
      <w:r>
        <w:t xml:space="preserve">performance.</w:t>
      </w:r>
      <w:r>
        <w:t xml:space="preserve"> </w:t>
      </w:r>
      <w:r>
        <w:t xml:space="preserve">The</w:t>
      </w:r>
      <w:r>
        <w:t xml:space="preserve"> </w:t>
      </w:r>
      <w:r>
        <w:t xml:space="preserve">study</w:t>
      </w:r>
      <w:r>
        <w:t xml:space="preserve"> </w:t>
      </w:r>
      <w:r>
        <w:t xml:space="preserve">uses</w:t>
      </w:r>
      <w:r>
        <w:t xml:space="preserve"> </w:t>
      </w:r>
      <w:r>
        <w:t xml:space="preserve">two-stage</w:t>
      </w:r>
      <w:r>
        <w:t xml:space="preserve"> </w:t>
      </w:r>
      <w:r>
        <w:t xml:space="preserve">last</w:t>
      </w:r>
      <w:r>
        <w:t xml:space="preserve"> </w:t>
      </w:r>
      <w:r>
        <w:t xml:space="preserve">squares</w:t>
      </w:r>
      <w:r>
        <w:t xml:space="preserve"> </w:t>
      </w:r>
      <w:r>
        <w:t xml:space="preserve">(2SLS)</w:t>
      </w:r>
      <w:r>
        <w:t xml:space="preserve"> </w:t>
      </w:r>
      <w:r>
        <w:t xml:space="preserve">regressions</w:t>
      </w:r>
      <w:r>
        <w:t xml:space="preserve"> </w:t>
      </w:r>
      <w:r>
        <w:t xml:space="preserve">with</w:t>
      </w:r>
      <w:r>
        <w:t xml:space="preserve"> </w:t>
      </w:r>
      <w:r>
        <w:t xml:space="preserve">instrumental</w:t>
      </w:r>
      <w:r>
        <w:t xml:space="preserve"> </w:t>
      </w:r>
      <w:r>
        <w:t xml:space="preserve">variables</w:t>
      </w:r>
      <w:r>
        <w:t xml:space="preserve"> </w:t>
      </w:r>
      <w:r>
        <w:t xml:space="preserve">to</w:t>
      </w:r>
      <w:r>
        <w:t xml:space="preserve"> </w:t>
      </w:r>
      <w:r>
        <w:t xml:space="preserve">identify</w:t>
      </w:r>
      <w:r>
        <w:t xml:space="preserve"> </w:t>
      </w:r>
      <w:r>
        <w:t xml:space="preserve">relationships</w:t>
      </w:r>
      <w:r>
        <w:t xml:space="preserve"> </w:t>
      </w:r>
      <w:r>
        <w:t xml:space="preserve">between</w:t>
      </w:r>
      <w:r>
        <w:t xml:space="preserve"> </w:t>
      </w:r>
      <w:r>
        <w:t xml:space="preserve">non-performing</w:t>
      </w:r>
      <w:r>
        <w:t xml:space="preserve"> </w:t>
      </w:r>
      <w:r>
        <w:t xml:space="preserve">loans</w:t>
      </w:r>
      <w:r>
        <w:t xml:space="preserve"> </w:t>
      </w:r>
      <w:r>
        <w:t xml:space="preserve">ratio</w:t>
      </w:r>
      <w:r>
        <w:t xml:space="preserve"> </w:t>
      </w:r>
      <w:r>
        <w:t xml:space="preserve">and</w:t>
      </w:r>
      <w:r>
        <w:t xml:space="preserve"> </w:t>
      </w:r>
      <w:r>
        <w:t xml:space="preserve">ESG</w:t>
      </w:r>
      <w:r>
        <w:t xml:space="preserve"> </w:t>
      </w:r>
      <w:r>
        <w:t xml:space="preserve">scores,</w:t>
      </w:r>
      <w:r>
        <w:t xml:space="preserve"> </w:t>
      </w:r>
      <w:r>
        <w:t xml:space="preserve">including</w:t>
      </w:r>
      <w:r>
        <w:t xml:space="preserve"> </w:t>
      </w:r>
      <w:r>
        <w:t xml:space="preserve">separate</w:t>
      </w:r>
      <w:r>
        <w:t xml:space="preserve"> </w:t>
      </w:r>
      <w:r>
        <w:t xml:space="preserve">scores</w:t>
      </w:r>
      <w:r>
        <w:t xml:space="preserve"> </w:t>
      </w:r>
      <w:r>
        <w:t xml:space="preserve">for</w:t>
      </w:r>
      <w:r>
        <w:t xml:space="preserve"> </w:t>
      </w:r>
      <w:r>
        <w:t xml:space="preserve">environmental,</w:t>
      </w:r>
      <w:r>
        <w:t xml:space="preserve"> </w:t>
      </w:r>
      <w:r>
        <w:t xml:space="preserve">social,</w:t>
      </w:r>
      <w:r>
        <w:t xml:space="preserve"> </w:t>
      </w:r>
      <w:r>
        <w:t xml:space="preserve">and</w:t>
      </w:r>
      <w:r>
        <w:t xml:space="preserve"> </w:t>
      </w:r>
      <w:r>
        <w:t xml:space="preserve">governance</w:t>
      </w:r>
      <w:r>
        <w:t xml:space="preserve"> </w:t>
      </w:r>
      <w:r>
        <w:t xml:space="preserve">pillars.</w:t>
      </w:r>
      <w:r>
        <w:t xml:space="preserve"> </w:t>
      </w:r>
      <w:r>
        <w:t xml:space="preserve">The</w:t>
      </w:r>
      <w:r>
        <w:t xml:space="preserve"> </w:t>
      </w:r>
      <w:r>
        <w:t xml:space="preserve">research</w:t>
      </w:r>
      <w:r>
        <w:t xml:space="preserve"> </w:t>
      </w:r>
      <w:r>
        <w:t xml:space="preserve">is</w:t>
      </w:r>
      <w:r>
        <w:t xml:space="preserve"> </w:t>
      </w:r>
      <w:r>
        <w:t xml:space="preserve">based</w:t>
      </w:r>
      <w:r>
        <w:t xml:space="preserve"> </w:t>
      </w:r>
      <w:r>
        <w:t xml:space="preserve">on</w:t>
      </w:r>
      <w:r>
        <w:t xml:space="preserve"> </w:t>
      </w:r>
      <w:r>
        <w:t xml:space="preserve">yearly</w:t>
      </w:r>
      <w:r>
        <w:t xml:space="preserve"> </w:t>
      </w:r>
      <w:r>
        <w:t xml:space="preserve">data</w:t>
      </w:r>
      <w:r>
        <w:t xml:space="preserve"> </w:t>
      </w:r>
      <w:r>
        <w:t xml:space="preserve">from</w:t>
      </w:r>
      <w:r>
        <w:t xml:space="preserve"> </w:t>
      </w:r>
      <w:r>
        <w:t xml:space="preserve">the</w:t>
      </w:r>
      <w:r>
        <w:t xml:space="preserve"> </w:t>
      </w:r>
      <w:r>
        <w:t xml:space="preserve">Polish</w:t>
      </w:r>
      <w:r>
        <w:t xml:space="preserve"> </w:t>
      </w:r>
      <w:r>
        <w:t xml:space="preserve">commercial</w:t>
      </w:r>
      <w:r>
        <w:t xml:space="preserve"> </w:t>
      </w:r>
      <w:r>
        <w:t xml:space="preserve">banking</w:t>
      </w:r>
      <w:r>
        <w:t xml:space="preserve"> </w:t>
      </w:r>
      <w:r>
        <w:t xml:space="preserve">sector</w:t>
      </w:r>
      <w:r>
        <w:t xml:space="preserve"> </w:t>
      </w:r>
      <w:r>
        <w:t xml:space="preserve">from</w:t>
      </w:r>
      <w:r>
        <w:t xml:space="preserve"> </w:t>
      </w:r>
      <w:r>
        <w:t xml:space="preserve">2013</w:t>
      </w:r>
      <w:r>
        <w:t xml:space="preserve"> </w:t>
      </w:r>
      <w:r>
        <w:t xml:space="preserve">to</w:t>
      </w:r>
      <w:r>
        <w:t xml:space="preserve"> </w:t>
      </w:r>
      <w:r>
        <w:t xml:space="preserve">2023.</w:t>
      </w:r>
      <w:r>
        <w:t xml:space="preserve"> </w:t>
      </w:r>
      <w:r>
        <w:t xml:space="preserve">The</w:t>
      </w:r>
      <w:r>
        <w:t xml:space="preserve"> </w:t>
      </w:r>
      <w:r>
        <w:t xml:space="preserve">following</w:t>
      </w:r>
      <w:r>
        <w:t xml:space="preserve"> </w:t>
      </w:r>
      <w:r>
        <w:t xml:space="preserve">bank-specific</w:t>
      </w:r>
      <w:r>
        <w:t xml:space="preserve"> </w:t>
      </w:r>
      <w:r>
        <w:t xml:space="preserve">variables</w:t>
      </w:r>
      <w:r>
        <w:t xml:space="preserve"> </w:t>
      </w:r>
      <w:r>
        <w:t xml:space="preserve">were</w:t>
      </w:r>
      <w:r>
        <w:t xml:space="preserve"> </w:t>
      </w:r>
      <w:r>
        <w:t xml:space="preserve">used</w:t>
      </w:r>
      <w:r>
        <w:t xml:space="preserve"> </w:t>
      </w:r>
      <w:r>
        <w:t xml:space="preserve">in</w:t>
      </w:r>
      <w:r>
        <w:t xml:space="preserve"> </w:t>
      </w:r>
      <w:r>
        <w:t xml:space="preserve">the</w:t>
      </w:r>
      <w:r>
        <w:t xml:space="preserve"> </w:t>
      </w:r>
      <w:r>
        <w:t xml:space="preserve">model:</w:t>
      </w:r>
      <w:r>
        <w:t xml:space="preserve"> </w:t>
      </w:r>
      <w:r>
        <w:t xml:space="preserve">ESG</w:t>
      </w:r>
      <w:r>
        <w:t xml:space="preserve"> </w:t>
      </w:r>
      <w:r>
        <w:t xml:space="preserve">score</w:t>
      </w:r>
      <w:r>
        <w:t xml:space="preserve"> </w:t>
      </w:r>
      <w:r>
        <w:t xml:space="preserve">(Environmental</w:t>
      </w:r>
      <w:r>
        <w:t xml:space="preserve"> </w:t>
      </w:r>
      <w:r>
        <w:t xml:space="preserve">Pillar</w:t>
      </w:r>
      <w:r>
        <w:t xml:space="preserve"> </w:t>
      </w:r>
      <w:r>
        <w:t xml:space="preserve">Score,</w:t>
      </w:r>
      <w:r>
        <w:t xml:space="preserve"> </w:t>
      </w:r>
      <w:r>
        <w:t xml:space="preserve">Social</w:t>
      </w:r>
      <w:r>
        <w:t xml:space="preserve"> </w:t>
      </w:r>
      <w:r>
        <w:t xml:space="preserve">Pillar</w:t>
      </w:r>
      <w:r>
        <w:t xml:space="preserve"> </w:t>
      </w:r>
      <w:r>
        <w:t xml:space="preserve">Score,</w:t>
      </w:r>
      <w:r>
        <w:t xml:space="preserve"> </w:t>
      </w:r>
      <w:r>
        <w:t xml:space="preserve">Governance</w:t>
      </w:r>
      <w:r>
        <w:t xml:space="preserve"> </w:t>
      </w:r>
      <w:r>
        <w:t xml:space="preserve">Pillar</w:t>
      </w:r>
      <w:r>
        <w:t xml:space="preserve"> </w:t>
      </w:r>
      <w:r>
        <w:t xml:space="preserve">Score)</w:t>
      </w:r>
      <w:r>
        <w:t xml:space="preserve"> </w:t>
      </w:r>
      <w:r>
        <w:t xml:space="preserve">and</w:t>
      </w:r>
      <w:r>
        <w:t xml:space="preserve"> </w:t>
      </w:r>
      <w:r>
        <w:t xml:space="preserve">ROA,</w:t>
      </w:r>
      <w:r>
        <w:t xml:space="preserve"> </w:t>
      </w:r>
      <w:r>
        <w:t xml:space="preserve">CAPR1</w:t>
      </w:r>
      <w:r>
        <w:t xml:space="preserve"> </w:t>
      </w:r>
      <w:r>
        <w:t xml:space="preserve">(Capital</w:t>
      </w:r>
      <w:r>
        <w:t xml:space="preserve"> </w:t>
      </w:r>
      <w:r>
        <w:t xml:space="preserve">Adequacy</w:t>
      </w:r>
      <w:r>
        <w:t xml:space="preserve"> </w:t>
      </w:r>
      <w:r>
        <w:t xml:space="preserve">Ratio),</w:t>
      </w:r>
      <w:r>
        <w:t xml:space="preserve"> </w:t>
      </w:r>
      <w:r>
        <w:t xml:space="preserve">NPL,</w:t>
      </w:r>
      <w:r>
        <w:t xml:space="preserve"> </w:t>
      </w:r>
      <w:r>
        <w:t xml:space="preserve">loan</w:t>
      </w:r>
      <w:r>
        <w:t xml:space="preserve"> </w:t>
      </w:r>
      <w:r>
        <w:t xml:space="preserve">dynamics,</w:t>
      </w:r>
      <w:r>
        <w:t xml:space="preserve"> </w:t>
      </w:r>
      <w:r>
        <w:t xml:space="preserve">ALW</w:t>
      </w:r>
      <w:r>
        <w:t xml:space="preserve"> </w:t>
      </w:r>
      <w:r>
        <w:t xml:space="preserve">(Loan</w:t>
      </w:r>
      <w:r>
        <w:t xml:space="preserve"> </w:t>
      </w:r>
      <w:r>
        <w:t xml:space="preserve">Loss</w:t>
      </w:r>
      <w:r>
        <w:t xml:space="preserve"> </w:t>
      </w:r>
      <w:r>
        <w:t xml:space="preserve">Allowance</w:t>
      </w:r>
      <w:r>
        <w:t xml:space="preserve"> </w:t>
      </w:r>
      <w:r>
        <w:t xml:space="preserve">to</w:t>
      </w:r>
      <w:r>
        <w:t xml:space="preserve"> </w:t>
      </w:r>
      <w:r>
        <w:t xml:space="preserve">Total</w:t>
      </w:r>
      <w:r>
        <w:t xml:space="preserve"> </w:t>
      </w:r>
      <w:r>
        <w:t xml:space="preserve">Loans),</w:t>
      </w:r>
      <w:r>
        <w:t xml:space="preserve"> </w:t>
      </w:r>
      <w:r>
        <w:t xml:space="preserve">as</w:t>
      </w:r>
      <w:r>
        <w:t xml:space="preserve"> </w:t>
      </w:r>
      <w:r>
        <w:t xml:space="preserve">well</w:t>
      </w:r>
      <w:r>
        <w:t xml:space="preserve"> </w:t>
      </w:r>
      <w:r>
        <w:t xml:space="preserve">as</w:t>
      </w:r>
      <w:r>
        <w:t xml:space="preserve"> </w:t>
      </w:r>
      <w:r>
        <w:t xml:space="preserve">macroeconomic</w:t>
      </w:r>
      <w:r>
        <w:t xml:space="preserve"> </w:t>
      </w:r>
      <w:r>
        <w:t xml:space="preserve">variables</w:t>
      </w:r>
      <w:r>
        <w:t xml:space="preserve"> </w:t>
      </w:r>
      <w:r>
        <w:t xml:space="preserve">such</w:t>
      </w:r>
      <w:r>
        <w:t xml:space="preserve"> </w:t>
      </w:r>
      <w:r>
        <w:t xml:space="preserve">as</w:t>
      </w:r>
      <w:r>
        <w:t xml:space="preserve"> </w:t>
      </w:r>
      <w:r>
        <w:t xml:space="preserve">GDP,</w:t>
      </w:r>
      <w:r>
        <w:t xml:space="preserve"> </w:t>
      </w:r>
      <w:r>
        <w:t xml:space="preserve">unemployment</w:t>
      </w:r>
      <w:r>
        <w:t xml:space="preserve"> </w:t>
      </w:r>
      <w:r>
        <w:t xml:space="preserve">rate</w:t>
      </w:r>
      <w:r>
        <w:t xml:space="preserve"> </w:t>
      </w:r>
      <w:r>
        <w:t xml:space="preserve">and</w:t>
      </w:r>
      <w:r>
        <w:t xml:space="preserve"> </w:t>
      </w:r>
      <w:r>
        <w:t xml:space="preserve">inflation.</w:t>
      </w:r>
      <w:r>
        <w:t xml:space="preserve"> </w:t>
      </w:r>
      <w:r>
        <w:t xml:space="preserve">We</w:t>
      </w:r>
      <w:r>
        <w:t xml:space="preserve"> </w:t>
      </w:r>
      <w:r>
        <w:t xml:space="preserve">find</w:t>
      </w:r>
      <w:r>
        <w:t xml:space="preserve"> </w:t>
      </w:r>
      <w:r>
        <w:t xml:space="preserve">that</w:t>
      </w:r>
      <w:r>
        <w:t xml:space="preserve"> </w:t>
      </w:r>
      <w:r>
        <w:t xml:space="preserve">a</w:t>
      </w:r>
      <w:r>
        <w:t xml:space="preserve"> </w:t>
      </w:r>
      <w:r>
        <w:t xml:space="preserve">banks’</w:t>
      </w:r>
      <w:r>
        <w:t xml:space="preserve"> </w:t>
      </w:r>
      <w:r>
        <w:t xml:space="preserve">ESG</w:t>
      </w:r>
      <w:r>
        <w:t xml:space="preserve"> </w:t>
      </w:r>
      <w:r>
        <w:t xml:space="preserve">score</w:t>
      </w:r>
      <w:r>
        <w:t xml:space="preserve"> </w:t>
      </w:r>
      <w:r>
        <w:t xml:space="preserve">is</w:t>
      </w:r>
      <w:r>
        <w:t xml:space="preserve"> </w:t>
      </w:r>
      <w:r>
        <w:t xml:space="preserve">negatively</w:t>
      </w:r>
      <w:r>
        <w:t xml:space="preserve"> </w:t>
      </w:r>
      <w:r>
        <w:t xml:space="preserve">associated</w:t>
      </w:r>
      <w:r>
        <w:t xml:space="preserve"> </w:t>
      </w:r>
      <w:r>
        <w:t xml:space="preserve">with</w:t>
      </w:r>
      <w:r>
        <w:t xml:space="preserve"> </w:t>
      </w:r>
      <w:r>
        <w:t xml:space="preserve">its</w:t>
      </w:r>
      <w:r>
        <w:t xml:space="preserve"> </w:t>
      </w:r>
      <w:r>
        <w:t xml:space="preserve">non-performing</w:t>
      </w:r>
      <w:r>
        <w:t xml:space="preserve"> </w:t>
      </w:r>
      <w:r>
        <w:t xml:space="preserve">loans.</w:t>
      </w:r>
      <w:r>
        <w:t xml:space="preserve"> </w:t>
      </w:r>
      <w:r>
        <w:t xml:space="preserve">Banks</w:t>
      </w:r>
      <w:r>
        <w:t xml:space="preserve"> </w:t>
      </w:r>
      <w:r>
        <w:t xml:space="preserve">with</w:t>
      </w:r>
      <w:r>
        <w:t xml:space="preserve"> </w:t>
      </w:r>
      <w:r>
        <w:t xml:space="preserve">higher</w:t>
      </w:r>
      <w:r>
        <w:t xml:space="preserve"> </w:t>
      </w:r>
      <w:r>
        <w:t xml:space="preserve">ESG</w:t>
      </w:r>
      <w:r>
        <w:t xml:space="preserve"> </w:t>
      </w:r>
      <w:r>
        <w:t xml:space="preserve">scores</w:t>
      </w:r>
      <w:r>
        <w:t xml:space="preserve"> </w:t>
      </w:r>
      <w:r>
        <w:t xml:space="preserve">have</w:t>
      </w:r>
      <w:r>
        <w:t xml:space="preserve"> </w:t>
      </w:r>
      <w:r>
        <w:t xml:space="preserve">lower</w:t>
      </w:r>
      <w:r>
        <w:t xml:space="preserve"> </w:t>
      </w:r>
      <w:r>
        <w:t xml:space="preserve">non-performing</w:t>
      </w:r>
      <w:r>
        <w:t xml:space="preserve"> </w:t>
      </w:r>
      <w:r>
        <w:t xml:space="preserve">loans</w:t>
      </w:r>
      <w:r>
        <w:t xml:space="preserve"> </w:t>
      </w:r>
      <w:r>
        <w:t xml:space="preserve">ratios.</w:t>
      </w:r>
      <w:r>
        <w:t xml:space="preserve"> </w:t>
      </w:r>
      <w:r>
        <w:t xml:space="preserve">The</w:t>
      </w:r>
      <w:r>
        <w:t xml:space="preserve"> </w:t>
      </w:r>
      <w:r>
        <w:t xml:space="preserve">study</w:t>
      </w:r>
      <w:r>
        <w:t xml:space="preserve"> </w:t>
      </w:r>
      <w:r>
        <w:t xml:space="preserve">enriches</w:t>
      </w:r>
      <w:r>
        <w:t xml:space="preserve"> </w:t>
      </w:r>
      <w:r>
        <w:t xml:space="preserve">the</w:t>
      </w:r>
      <w:r>
        <w:t xml:space="preserve"> </w:t>
      </w:r>
      <w:r>
        <w:t xml:space="preserve">ESG</w:t>
      </w:r>
      <w:r>
        <w:t xml:space="preserve"> </w:t>
      </w:r>
      <w:r>
        <w:t xml:space="preserve">literature</w:t>
      </w:r>
      <w:r>
        <w:t xml:space="preserve"> </w:t>
      </w:r>
      <w:r>
        <w:t xml:space="preserve">in</w:t>
      </w:r>
      <w:r>
        <w:t xml:space="preserve"> </w:t>
      </w:r>
      <w:r>
        <w:t xml:space="preserve">the</w:t>
      </w:r>
      <w:r>
        <w:t xml:space="preserve"> </w:t>
      </w:r>
      <w:r>
        <w:t xml:space="preserve">banking</w:t>
      </w:r>
      <w:r>
        <w:t xml:space="preserve"> </w:t>
      </w:r>
      <w:r>
        <w:t xml:space="preserve">sector</w:t>
      </w:r>
      <w:r>
        <w:t xml:space="preserve"> </w:t>
      </w:r>
      <w:r>
        <w:t xml:space="preserve">by</w:t>
      </w:r>
      <w:r>
        <w:t xml:space="preserve"> </w:t>
      </w:r>
      <w:r>
        <w:t xml:space="preserve">concentrating</w:t>
      </w:r>
      <w:r>
        <w:t xml:space="preserve"> </w:t>
      </w:r>
      <w:r>
        <w:t xml:space="preserve">on</w:t>
      </w:r>
      <w:r>
        <w:t xml:space="preserve"> </w:t>
      </w:r>
      <w:r>
        <w:t xml:space="preserve">banks’</w:t>
      </w:r>
      <w:r>
        <w:t xml:space="preserve"> </w:t>
      </w:r>
      <w:r>
        <w:t xml:space="preserve">loan</w:t>
      </w:r>
      <w:r>
        <w:t xml:space="preserve"> </w:t>
      </w:r>
      <w:r>
        <w:t xml:space="preserve">quality.</w:t>
      </w:r>
      <w:r>
        <w:t xml:space="preserve"> </w:t>
      </w:r>
      <w:r>
        <w:t xml:space="preserve">Moreover,</w:t>
      </w:r>
      <w:r>
        <w:t xml:space="preserve"> </w:t>
      </w:r>
      <w:r>
        <w:t xml:space="preserve">it</w:t>
      </w:r>
      <w:r>
        <w:t xml:space="preserve"> </w:t>
      </w:r>
      <w:r>
        <w:t xml:space="preserve">provides</w:t>
      </w:r>
      <w:r>
        <w:t xml:space="preserve"> </w:t>
      </w:r>
      <w:r>
        <w:t xml:space="preserve">relevant</w:t>
      </w:r>
      <w:r>
        <w:t xml:space="preserve"> </w:t>
      </w:r>
      <w:r>
        <w:t xml:space="preserve">evidence</w:t>
      </w:r>
      <w:r>
        <w:t xml:space="preserve"> </w:t>
      </w:r>
      <w:r>
        <w:t xml:space="preserve">how</w:t>
      </w:r>
      <w:r>
        <w:t xml:space="preserve"> </w:t>
      </w:r>
      <w:r>
        <w:t xml:space="preserve">improving</w:t>
      </w:r>
      <w:r>
        <w:t xml:space="preserve"> </w:t>
      </w:r>
      <w:r>
        <w:t xml:space="preserve">ESG</w:t>
      </w:r>
      <w:r>
        <w:t xml:space="preserve"> </w:t>
      </w:r>
      <w:r>
        <w:t xml:space="preserve">scores</w:t>
      </w:r>
      <w:r>
        <w:t xml:space="preserve"> </w:t>
      </w:r>
      <w:r>
        <w:t xml:space="preserve">goes</w:t>
      </w:r>
      <w:r>
        <w:t xml:space="preserve"> </w:t>
      </w:r>
      <w:r>
        <w:t xml:space="preserve">together</w:t>
      </w:r>
      <w:r>
        <w:t xml:space="preserve"> </w:t>
      </w:r>
      <w:r>
        <w:t xml:space="preserve">with</w:t>
      </w:r>
      <w:r>
        <w:t xml:space="preserve"> </w:t>
      </w:r>
      <w:r>
        <w:t xml:space="preserve">improving</w:t>
      </w:r>
      <w:r>
        <w:t xml:space="preserve"> </w:t>
      </w:r>
      <w:r>
        <w:t xml:space="preserve">the</w:t>
      </w:r>
      <w:r>
        <w:t xml:space="preserve"> </w:t>
      </w:r>
      <w:r>
        <w:t xml:space="preserve">quality</w:t>
      </w:r>
      <w:r>
        <w:t xml:space="preserve"> </w:t>
      </w:r>
      <w:r>
        <w:t xml:space="preserve">of</w:t>
      </w:r>
      <w:r>
        <w:t xml:space="preserve"> </w:t>
      </w:r>
      <w:r>
        <w:t xml:space="preserve">banks’</w:t>
      </w:r>
      <w:r>
        <w:t xml:space="preserve"> </w:t>
      </w:r>
      <w:r>
        <w:t xml:space="preserve">portfolios.</w:t>
      </w:r>
    </w:p>
    <w:p>
      <w:pPr>
        <w:pStyle w:val="FirstParagraph"/>
      </w:pPr>
      <w:r>
        <w:rPr>
          <w:b/>
          <w:bCs/>
        </w:rPr>
        <w:t xml:space="preserve">JEL classification:</w:t>
      </w:r>
      <w:r>
        <w:t xml:space="preserve"> </w:t>
      </w:r>
      <w:r>
        <w:t xml:space="preserve">C23, G21</w:t>
      </w:r>
    </w:p>
    <w:bookmarkStart w:id="20" w:name="introduction"/>
    <w:p>
      <w:pPr>
        <w:pStyle w:val="Nagwek1"/>
      </w:pPr>
      <w:r>
        <w:t xml:space="preserve">Introduction</w:t>
      </w:r>
    </w:p>
    <w:p>
      <w:pPr>
        <w:pStyle w:val="FirstParagraph"/>
      </w:pPr>
      <w:r>
        <w:t xml:space="preserve">ESG principles have been strogly articulated over the past few years by international and European authorities, such as the European Banking Authority (EBA). Banks are required to incorporate environmental (E), social (S), and governance (G) criteria into their credit rating process (</w:t>
      </w:r>
      <w:r>
        <w:t xml:space="preserve">EBA (2021)</w:t>
      </w:r>
      <w:r>
        <w:t xml:space="preserve">) and regard ESG disclosure as crucial for fostering market discipline. Simultaneously banks are required to report ESG risks (</w:t>
      </w:r>
      <w:r>
        <w:t xml:space="preserve">EBA (2022)</w:t>
      </w:r>
      <w:r>
        <w:t xml:space="preserve">). There are also recommendations to integrate ESG into the supervisory tools of regulatory authorities (</w:t>
      </w:r>
      <w:r>
        <w:t xml:space="preserve">Aevoae, Andries, Ongena, &amp; Sprincean (2022)</w:t>
      </w:r>
      <w:r>
        <w:t xml:space="preserve">). Together with Corporate Sustainability Reporting Directive (CSRD) this will impact not only financial institutions and their clients, but all larger companies. With time even smaller companies will have to document how they deal with ESG and how they take into account sustainability in their day-to-day business.</w:t>
      </w:r>
    </w:p>
    <w:p>
      <w:pPr>
        <w:pStyle w:val="Tekstpodstawowy"/>
      </w:pPr>
      <w:r>
        <w:t xml:space="preserve">The study investigates the relationship between the non-performing loans ratio for the commercial banking sector in Poland and ESG performance in all three pillars: environmental, social, and governance. Our study differs from other studies and contributes to the literature in four aspects.</w:t>
      </w:r>
    </w:p>
    <w:p>
      <w:pPr>
        <w:pStyle w:val="Tekstpodstawowy"/>
      </w:pPr>
      <w:r>
        <w:t xml:space="preserve">Firstly, the paper most closely related to our research is</w:t>
      </w:r>
      <w:r>
        <w:t xml:space="preserve"> </w:t>
      </w:r>
      <w:r>
        <w:t xml:space="preserve">Liu, Jin, &amp; Nainar (2023)</w:t>
      </w:r>
      <w:r>
        <w:t xml:space="preserve">. The authors, relying on the sample of US commercial banks from 2002 to 2021 and the Refinitiv ESG database, found that a bank’s ESG score is negatively associated with its non-performing loans ratio. That is banks improving in terms of ESG compliance, also improve their business. The authors relied on data from the Refinitiv database, abandoning recodes with missing data. What distinguishes our research is the fact that, based on the Orbis and Bloomberg databases, for commercial banks in Poland we supplemented missing records in the Refinitiv database. Hence, despite having only a few banks in the sample, we have complete data on all those entities.</w:t>
      </w:r>
    </w:p>
    <w:p>
      <w:pPr>
        <w:pStyle w:val="Tekstpodstawowy"/>
      </w:pPr>
      <w:r>
        <w:t xml:space="preserve">Second, so far, studies on the relation between ESG and NPL in commercial banks in Poland, have not been conducted. The complete sample, covering most of the commercial banking sector in Poland, lets us draw meaningful conclusions.</w:t>
      </w:r>
    </w:p>
    <w:p>
      <w:pPr>
        <w:pStyle w:val="Tekstpodstawowy"/>
      </w:pPr>
      <w:r>
        <w:t xml:space="preserve">Finally, we analyse only banks from the commercial banking sector in Poland, avoiding comparisons between publicly traded commercial banks and cooperative banks or banks from different countries. For example,</w:t>
      </w:r>
      <w:r>
        <w:t xml:space="preserve"> </w:t>
      </w:r>
      <w:r>
        <w:t xml:space="preserve">Bruno, Iacoviello, &amp; Giannetti (2024)</w:t>
      </w:r>
      <w:r>
        <w:t xml:space="preserve"> </w:t>
      </w:r>
      <w:r>
        <w:t xml:space="preserve">analyse 135 banks from 28 EU countries were without considering their specific traits on each of those markets. Moreover, the authors did not provide the names of the banks included in the study, and hence comparison with our study is impossible.</w:t>
      </w:r>
    </w:p>
    <w:p>
      <w:pPr>
        <w:pStyle w:val="Tekstpodstawowy"/>
      </w:pPr>
      <w:r>
        <w:t xml:space="preserve">Our contribution to the research on impact of ESG compliance in financial sector is therefore twofold: we consider a homogenic set of banks with complete data with a scope comparable to other studies in the field, and hence we can reach quite sharp conclusions in the process, while controlling for differences between banks key characteristics.</w:t>
      </w:r>
    </w:p>
    <w:bookmarkEnd w:id="20"/>
    <w:bookmarkStart w:id="22" w:name="literature-review"/>
    <w:p>
      <w:pPr>
        <w:pStyle w:val="Nagwek1"/>
      </w:pPr>
      <w:r>
        <w:t xml:space="preserve">Literature review</w:t>
      </w:r>
    </w:p>
    <w:p>
      <w:pPr>
        <w:pStyle w:val="FirstParagraph"/>
      </w:pPr>
      <w:r>
        <w:t xml:space="preserve">The main stream of research on the consequences of banks’ ESG strategies focuses on the value of bank shares (</w:t>
      </w:r>
      <w:r>
        <w:t xml:space="preserve">Alam, Banna, &amp; Hassan (n.d.)</w:t>
      </w:r>
      <w:r>
        <w:t xml:space="preserve">;</w:t>
      </w:r>
      <w:r>
        <w:t xml:space="preserve"> </w:t>
      </w:r>
      <w:r>
        <w:t xml:space="preserve">Azmi, Hassan, Houston, &amp; Karim (2021)</w:t>
      </w:r>
      <w:r>
        <w:t xml:space="preserve">;</w:t>
      </w:r>
      <w:r>
        <w:t xml:space="preserve"> </w:t>
      </w:r>
      <w:r>
        <w:t xml:space="preserve">Demir &amp; Danisman (2021)</w:t>
      </w:r>
      <w:r>
        <w:t xml:space="preserve">), stability (</w:t>
      </w:r>
      <w:r>
        <w:t xml:space="preserve">Chiaramonte, Dreassi, Girardone, &amp; Piserà (2022)</w:t>
      </w:r>
      <w:r>
        <w:t xml:space="preserve">), and financial stability deterioration (</w:t>
      </w:r>
      <w:r>
        <w:t xml:space="preserve">Citterio &amp; King (2023)</w:t>
      </w:r>
      <w:r>
        <w:t xml:space="preserve">). There is also a line of research on efficiency(</w:t>
      </w:r>
      <w:r>
        <w:t xml:space="preserve">Alam et al. (n.d.)</w:t>
      </w:r>
      <w:r>
        <w:t xml:space="preserve">;</w:t>
      </w:r>
      <w:r>
        <w:t xml:space="preserve"> </w:t>
      </w:r>
      <w:r>
        <w:t xml:space="preserve">Ji, Sun, Liu, &amp; Chiu (2023)</w:t>
      </w:r>
      <w:r>
        <w:t xml:space="preserve">), profitability (</w:t>
      </w:r>
      <w:r>
        <w:t xml:space="preserve">Chiaramonte et al. (2022)</w:t>
      </w:r>
      <w:r>
        <w:t xml:space="preserve">;</w:t>
      </w:r>
      <w:r>
        <w:t xml:space="preserve"> </w:t>
      </w:r>
      <w:r>
        <w:t xml:space="preserve">Yuen, Ngo, Le, &amp; Ho (2022)</w:t>
      </w:r>
      <w:r>
        <w:t xml:space="preserve">;</w:t>
      </w:r>
      <w:r>
        <w:t xml:space="preserve"> </w:t>
      </w:r>
      <w:r>
        <w:t xml:space="preserve">Zhou (2021)</w:t>
      </w:r>
      <w:r>
        <w:t xml:space="preserve">) risk-taking behaviour (</w:t>
      </w:r>
      <w:r>
        <w:t xml:space="preserve">Tommaso &amp; Thornton (2020)</w:t>
      </w:r>
      <w:r>
        <w:t xml:space="preserve">;</w:t>
      </w:r>
      <w:r>
        <w:t xml:space="preserve"> </w:t>
      </w:r>
      <w:r>
        <w:t xml:space="preserve">Chiaramonte et al. (2022)</w:t>
      </w:r>
      <w:r>
        <w:t xml:space="preserve">) credit (</w:t>
      </w:r>
      <w:r>
        <w:t xml:space="preserve">Zhou (2021)</w:t>
      </w:r>
      <w:r>
        <w:t xml:space="preserve">) and lending behavior (</w:t>
      </w:r>
      <w:r>
        <w:t xml:space="preserve">Basu, Vitanza, Wang, &amp; Zhu (2022)</w:t>
      </w:r>
      <w:r>
        <w:t xml:space="preserve">;</w:t>
      </w:r>
      <w:r>
        <w:t xml:space="preserve"> </w:t>
      </w:r>
      <w:r>
        <w:t xml:space="preserve">Danisman &amp; Tarazi (2024)</w:t>
      </w:r>
      <w:r>
        <w:t xml:space="preserve">).</w:t>
      </w:r>
    </w:p>
    <w:p>
      <w:pPr>
        <w:pStyle w:val="Tekstpodstawowy"/>
      </w:pPr>
      <w:r>
        <w:t xml:space="preserve">The factors determining the quality of the loan portfolio have been classified as macro- and microeconomic factors – specific to the banking sector. The macroeconomic factors significantly associated with the quality of the loan portfolio include, among others: GDP growth (</w:t>
      </w:r>
      <w:r>
        <w:t xml:space="preserve">Głogowski (2008)</w:t>
      </w:r>
      <w:r>
        <w:t xml:space="preserve">;</w:t>
      </w:r>
      <w:r>
        <w:t xml:space="preserve"> </w:t>
      </w:r>
      <w:r>
        <w:t xml:space="preserve">Beck, Jakubík, &amp; Piloiu (2015)</w:t>
      </w:r>
      <w:r>
        <w:t xml:space="preserve">;</w:t>
      </w:r>
      <w:r>
        <w:t xml:space="preserve"> </w:t>
      </w:r>
      <w:r>
        <w:t xml:space="preserve">Donath, Cerna, &amp; Oprea (2014)</w:t>
      </w:r>
      <w:r>
        <w:t xml:space="preserve">;</w:t>
      </w:r>
      <w:r>
        <w:t xml:space="preserve"> </w:t>
      </w:r>
      <w:r>
        <w:t xml:space="preserve">Wdowiński (2014)</w:t>
      </w:r>
      <w:r>
        <w:t xml:space="preserve">;</w:t>
      </w:r>
      <w:r>
        <w:t xml:space="preserve"> </w:t>
      </w:r>
      <w:r>
        <w:t xml:space="preserve">Murumba (2013)</w:t>
      </w:r>
      <w:r>
        <w:t xml:space="preserve">;</w:t>
      </w:r>
      <w:r>
        <w:t xml:space="preserve"> </w:t>
      </w:r>
      <w:r>
        <w:t xml:space="preserve">Dimitrios, Helen, &amp; Mike (2016)</w:t>
      </w:r>
      <w:r>
        <w:t xml:space="preserve">;</w:t>
      </w:r>
      <w:r>
        <w:t xml:space="preserve"> </w:t>
      </w:r>
      <w:r>
        <w:t xml:space="preserve">Borsuk &amp; Markiewicz (2020)</w:t>
      </w:r>
      <w:r>
        <w:t xml:space="preserve">;</w:t>
      </w:r>
      <w:r>
        <w:t xml:space="preserve"> </w:t>
      </w:r>
      <w:r>
        <w:t xml:space="preserve">Ciukaj &amp; Kil (2020)</w:t>
      </w:r>
      <w:r>
        <w:t xml:space="preserve">;</w:t>
      </w:r>
      <w:r>
        <w:t xml:space="preserve"> </w:t>
      </w:r>
      <w:r>
        <w:t xml:space="preserve">Petkovski, Kjosevski, &amp; Jovanovski (2021)</w:t>
      </w:r>
      <w:r>
        <w:t xml:space="preserve">) inflation (</w:t>
      </w:r>
      <w:r>
        <w:t xml:space="preserve">Beck et al. (2015)</w:t>
      </w:r>
      <w:r>
        <w:t xml:space="preserve">;</w:t>
      </w:r>
      <w:r>
        <w:t xml:space="preserve"> </w:t>
      </w:r>
      <w:r>
        <w:t xml:space="preserve">Ciukaj &amp; Kil (2020)</w:t>
      </w:r>
      <w:r>
        <w:t xml:space="preserve">) and unemployment rate (</w:t>
      </w:r>
      <w:r>
        <w:t xml:space="preserve">Beck et al. (2015)</w:t>
      </w:r>
      <w:r>
        <w:t xml:space="preserve">;</w:t>
      </w:r>
      <w:r>
        <w:t xml:space="preserve"> </w:t>
      </w:r>
      <w:r>
        <w:t xml:space="preserve">Klein (2013)</w:t>
      </w:r>
      <w:r>
        <w:t xml:space="preserve">;</w:t>
      </w:r>
      <w:r>
        <w:t xml:space="preserve"> </w:t>
      </w:r>
      <w:r>
        <w:t xml:space="preserve">Dimitrios et al. (2016)</w:t>
      </w:r>
      <w:r>
        <w:t xml:space="preserve">;</w:t>
      </w:r>
      <w:r>
        <w:t xml:space="preserve"> </w:t>
      </w:r>
      <w:r>
        <w:t xml:space="preserve">Wan (2018)</w:t>
      </w:r>
      <w:r>
        <w:t xml:space="preserve">;</w:t>
      </w:r>
      <w:r>
        <w:t xml:space="preserve"> </w:t>
      </w:r>
      <w:r>
        <w:t xml:space="preserve">Wairimu &amp; Gitundu (2017)</w:t>
      </w:r>
      <w:r>
        <w:t xml:space="preserve">;</w:t>
      </w:r>
      <w:r>
        <w:t xml:space="preserve"> </w:t>
      </w:r>
      <w:r>
        <w:t xml:space="preserve">Radivojević et al. (2019)</w:t>
      </w:r>
      <w:r>
        <w:t xml:space="preserve">;</w:t>
      </w:r>
      <w:r>
        <w:t xml:space="preserve"> </w:t>
      </w:r>
      <w:r>
        <w:t xml:space="preserve">Petkovski et al. (2021)</w:t>
      </w:r>
      <w:r>
        <w:t xml:space="preserve">).</w:t>
      </w:r>
    </w:p>
    <w:p>
      <w:pPr>
        <w:pStyle w:val="Tekstpodstawowy"/>
      </w:pPr>
      <w:r>
        <w:t xml:space="preserve">In addition to macroeconomic factors, the quality of the loan portfolio is also influenced by microeconomic factors resulting from the specificity of the banking sector, including Tier-1 capital ratio, profitability, liquidity (</w:t>
      </w:r>
      <w:r>
        <w:t xml:space="preserve">Zeng (2012)</w:t>
      </w:r>
      <w:r>
        <w:t xml:space="preserve">;</w:t>
      </w:r>
      <w:r>
        <w:t xml:space="preserve"> </w:t>
      </w:r>
      <w:r>
        <w:t xml:space="preserve">Klein (2013)</w:t>
      </w:r>
      <w:r>
        <w:t xml:space="preserve">;</w:t>
      </w:r>
      <w:r>
        <w:t xml:space="preserve"> </w:t>
      </w:r>
      <w:r>
        <w:t xml:space="preserve">Makri, Tsagkanos, &amp; Bellas (2014)</w:t>
      </w:r>
      <w:r>
        <w:t xml:space="preserve">;</w:t>
      </w:r>
      <w:r>
        <w:t xml:space="preserve"> </w:t>
      </w:r>
      <w:r>
        <w:t xml:space="preserve">Kjosevski &amp; Petkovski (2017)</w:t>
      </w:r>
      <w:r>
        <w:t xml:space="preserve">), growth rate of total loans, (</w:t>
      </w:r>
      <w:r>
        <w:t xml:space="preserve">Kjosevski &amp; Petkovski (2017)</w:t>
      </w:r>
      <w:r>
        <w:t xml:space="preserve">) loan loss allowance (</w:t>
      </w:r>
      <w:r>
        <w:t xml:space="preserve">Klein (2013)</w:t>
      </w:r>
      <w:r>
        <w:t xml:space="preserve">;</w:t>
      </w:r>
      <w:r>
        <w:t xml:space="preserve"> </w:t>
      </w:r>
      <w:r>
        <w:t xml:space="preserve">Messai &amp; Jouini (2013)</w:t>
      </w:r>
      <w:r>
        <w:t xml:space="preserve">;</w:t>
      </w:r>
      <w:r>
        <w:t xml:space="preserve"> </w:t>
      </w:r>
      <w:r>
        <w:t xml:space="preserve">Firmansyah (2014)</w:t>
      </w:r>
      <w:r>
        <w:t xml:space="preserve">;</w:t>
      </w:r>
      <w:r>
        <w:t xml:space="preserve"> </w:t>
      </w:r>
      <w:r>
        <w:t xml:space="preserve">Ozili (2019)</w:t>
      </w:r>
      <w:r>
        <w:t xml:space="preserve">).</w:t>
      </w:r>
    </w:p>
    <w:p>
      <w:pPr>
        <w:pStyle w:val="Tekstpodstawowy"/>
      </w:pPr>
      <w:r>
        <w:t xml:space="preserve">Only a limited number of studies have investigated the relationship between a bank’s performance of non-performing loans and its ESG or corporate social responsibility (CSR) score. Wu and Shen (</w:t>
      </w:r>
      <w:r>
        <w:t xml:space="preserve">Wu &amp; Shen (2013)</w:t>
      </w:r>
      <w:r>
        <w:t xml:space="preserve">) analysed 162 banks from 22 countries. The empirical results demonstrate that CSR negatively associates with non-performing loans (</w:t>
      </w:r>
      <w:r>
        <w:t xml:space="preserve">Wu &amp; Shen (2013)</w:t>
      </w:r>
      <w:r>
        <w:t xml:space="preserve">).</w:t>
      </w:r>
      <w:r>
        <w:t xml:space="preserve"> </w:t>
      </w:r>
      <w:r>
        <w:t xml:space="preserve">Liu et al. (2023)</w:t>
      </w:r>
      <w:r>
        <w:t xml:space="preserve"> </w:t>
      </w:r>
      <w:r>
        <w:t xml:space="preserve">investigated U.S. commercial banks and found that ESG rating is negatively associated with banks’ non-performing loans. However,</w:t>
      </w:r>
      <w:r>
        <w:t xml:space="preserve"> </w:t>
      </w:r>
      <w:r>
        <w:t xml:space="preserve">Bruno et al. (2024)</w:t>
      </w:r>
      <w:r>
        <w:t xml:space="preserve"> </w:t>
      </w:r>
      <w:r>
        <w:t xml:space="preserve">studied the impact of ESG scores on non-performing loans for a sample of European listed banks from 28 countries over the period 2002-2020 and found that banks with greater levels of ESG score have higher levels of NPLs.</w:t>
      </w:r>
    </w:p>
    <w:bookmarkStart w:id="21" w:name="X5e8b32ee6454177211c0bca9c77709a7a395bb9"/>
    <w:p>
      <w:pPr>
        <w:pStyle w:val="Nagwek2"/>
      </w:pPr>
      <w:r>
        <w:t xml:space="preserve">ESG pillars and non-performing loan measures</w:t>
      </w:r>
    </w:p>
    <w:p>
      <w:pPr>
        <w:pStyle w:val="FirstParagraph"/>
      </w:pPr>
      <w:r>
        <w:t xml:space="preserve">ESG scores are the aggregated variable derived from the weighted combination of several heterogeneous indicators. The Environmental (E) component encompasses sustainable resource use, emissions reduction, and minimizing environmental impact. The Social (S) component includes factors such as job satisfaction, occupational health and safety, diversity, equality, and human rights. The Governance (G) component involves adherence to best practices, equal treatment of shareholders, and the integration of non-financial goals into strategic and management decisions (</w:t>
      </w:r>
      <w:r>
        <w:t xml:space="preserve">Chiaramonte et al. (2022)</w:t>
      </w:r>
      <w:r>
        <w:t xml:space="preserve">).</w:t>
      </w:r>
    </w:p>
    <w:p>
      <w:pPr>
        <w:pStyle w:val="Tekstpodstawowy"/>
      </w:pPr>
      <w:r>
        <w:t xml:space="preserve">Stakeholder theory emphasizes the importance of managing an organization in a way that considers the needs and expectations of all stakeholders group (</w:t>
      </w:r>
      <w:r>
        <w:t xml:space="preserve">Donaldson &amp; Preston (1995)</w:t>
      </w:r>
      <w:r>
        <w:t xml:space="preserve">). The ESG score serves as a tool to measure how well an organization meets these expectations in the three key areas of sustainable development.</w:t>
      </w:r>
    </w:p>
    <w:p>
      <w:pPr>
        <w:pStyle w:val="Tekstpodstawowy"/>
      </w:pPr>
      <w:r>
        <w:t xml:space="preserve">Given that banks with high ESG scores tend to have a low level of non-performing loans (</w:t>
      </w:r>
      <w:r>
        <w:t xml:space="preserve">Wu &amp; Shen (2013)</w:t>
      </w:r>
      <w:r>
        <w:t xml:space="preserve">;</w:t>
      </w:r>
      <w:r>
        <w:t xml:space="preserve"> </w:t>
      </w:r>
      <w:r>
        <w:t xml:space="preserve">Basu et al. (2022)</w:t>
      </w:r>
      <w:r>
        <w:t xml:space="preserve">) and are also associated with a reduction in default risk (</w:t>
      </w:r>
      <w:r>
        <w:t xml:space="preserve">Tommaso &amp; Thornton (2020)</w:t>
      </w:r>
      <w:r>
        <w:t xml:space="preserve">) and specific risks (</w:t>
      </w:r>
      <w:r>
        <w:t xml:space="preserve">Aevoae et al. (2022)</w:t>
      </w:r>
      <w:r>
        <w:t xml:space="preserve">) we propose the following hypothesis:</w:t>
      </w:r>
      <w:r>
        <w:t xml:space="preserve"> </w:t>
      </w:r>
      <w:r>
        <w:rPr>
          <w:i/>
          <w:iCs/>
        </w:rPr>
        <w:t xml:space="preserve">Banks’ ESG scores, as well as the separate pillars, namely the Environmental score, Social score, and Governance score, are negatively associated with non-performing loans.</w:t>
      </w:r>
      <w:r>
        <w:t xml:space="preserve"> </w:t>
      </w:r>
      <w:r>
        <w:t xml:space="preserve">That means, improving ESG score has positive impact on bank’s performance by lowering non-performing loans ratio.</w:t>
      </w:r>
    </w:p>
    <w:p>
      <w:pPr>
        <w:pStyle w:val="Tekstpodstawowy"/>
      </w:pPr>
      <w:r>
        <w:rPr>
          <w:b/>
          <w:bCs/>
        </w:rPr>
        <w:t xml:space="preserve">H1:</w:t>
      </w:r>
      <w:r>
        <w:t xml:space="preserve"> </w:t>
      </w:r>
      <w:r>
        <w:t xml:space="preserve">The ESG score has a positive impact on reducing the non-performing loans ratio</w:t>
      </w:r>
    </w:p>
    <w:p>
      <w:pPr>
        <w:pStyle w:val="Tekstpodstawowy"/>
      </w:pPr>
      <w:r>
        <w:rPr>
          <w:b/>
          <w:bCs/>
        </w:rPr>
        <w:t xml:space="preserve">H2:</w:t>
      </w:r>
      <w:r>
        <w:t xml:space="preserve"> </w:t>
      </w:r>
      <w:r>
        <w:t xml:space="preserve">The individual components of the ESG score – the environmental score, social score, and governance score – have a positive impact on reducing the non-performing loans ratio.</w:t>
      </w:r>
    </w:p>
    <w:p>
      <w:pPr>
        <w:pStyle w:val="Tekstpodstawowy"/>
      </w:pPr>
      <w:r>
        <w:t xml:space="preserve">Banks with a high Environmental score are more likely to lend to companies that also take care of their environmental impact, such as those that reduce their carbon footprint, limit water usage or manage waste effectively. Such companies are usually more financially stable (</w:t>
      </w:r>
      <w:r>
        <w:t xml:space="preserve">Khan, Serafeim, &amp; Yoon (2016)</w:t>
      </w:r>
      <w:r>
        <w:t xml:space="preserve">), and better managed, which translates to a lower risk of default and a lower NPL ratio. Additionally, banks with high Environmental scores often invest in projects related to renewable energy, energy efficiency, and other sustainable initiatives. These projects may be less risky in the long term because they are often supported by government and social policies, and they may be less susceptible to market fluctuations, which can lead to a lower number of NPLs.</w:t>
      </w:r>
    </w:p>
    <w:p>
      <w:pPr>
        <w:pStyle w:val="Tekstpodstawowy"/>
      </w:pPr>
      <w:r>
        <w:t xml:space="preserve">Banks with a high Social score have excellent relationships with employees, shareholders, customers, consumers, and are valued members of the community. They care for all stakeholders by creating dignified working conditions and contributing to the community. Customers appreciate the transparency and ethical behavior of banks, and are more inclined to use their products, resulting in better performance for the bank. Incorporating social responsibility initiatives into bank’s activities can potentially lead to financial benefits (</w:t>
      </w:r>
      <w:r>
        <w:t xml:space="preserve">Sindhu, Windijarto, Wong, &amp; Maswadi (2024)</w:t>
      </w:r>
      <w:r>
        <w:t xml:space="preserve">).</w:t>
      </w:r>
    </w:p>
    <w:p>
      <w:pPr>
        <w:pStyle w:val="Tekstpodstawowy"/>
      </w:pPr>
      <w:r>
        <w:t xml:space="preserve">According to the OECD, effective corporate governance enhances a company’s reputation, mitigates risks, and strengthens shareholder confidence (</w:t>
      </w:r>
      <w:r>
        <w:t xml:space="preserve">OECD (2023)</w:t>
      </w:r>
      <w:r>
        <w:t xml:space="preserve">). Banks with a high Governance score are companies that operate in a transparent, responsible, and ethical manner, which in turn increases trust among investors, shareholders, and other stakeholders. Good corporate governance will be reflected in better bank performance (</w:t>
      </w:r>
      <w:r>
        <w:t xml:space="preserve">Komath, Doğan, &amp; Sayılır (2023)</w:t>
      </w:r>
      <w:r>
        <w:t xml:space="preserve">). Such practices can contribute to better risk management, improved financial results, leading to lower non-performing loans ratios.</w:t>
      </w:r>
    </w:p>
    <w:bookmarkEnd w:id="21"/>
    <w:bookmarkEnd w:id="22"/>
    <w:bookmarkStart w:id="45" w:name="data"/>
    <w:p>
      <w:pPr>
        <w:pStyle w:val="Nagwek1"/>
      </w:pPr>
      <w:r>
        <w:t xml:space="preserve">Data</w:t>
      </w:r>
    </w:p>
    <w:p>
      <w:pPr>
        <w:pStyle w:val="FirstParagraph"/>
      </w:pPr>
      <w:r>
        <w:t xml:space="preserve">The study relies on annual data from the Polish commercial banking sector spanning from 2013 to 2023. Bank-specific data, including ESG scores, ROA, loan dynamics, and ALW, were obtained from the Refinitiv Database, CAPR1 from ORBIS (Bureau van Dijk), and macroeconomic data from the Macroeconomic Data Bank of Central Statistical Office (</w:t>
      </w:r>
      <w:hyperlink r:id="rId23">
        <w:r>
          <w:rPr>
            <w:rStyle w:val="Hipercze"/>
          </w:rPr>
          <w:t xml:space="preserve">https://dbm.stat.gov.pl</w:t>
        </w:r>
      </w:hyperlink>
      <w:r>
        <w:t xml:space="preserve">). Our sample includes all commercial banks in Poland from 2013 to 2023 for which the Refinitiv Database provides an ESG score. The starting point was the ESG score data. If other bank-specific variables available in the Refinitiv Database were missing, the Bloomberg database was used. The final sample prepared in this way includes 88 bank-year observations. The description of variables in this dataset is presented in</w:t>
      </w:r>
      <w:r>
        <w:t xml:space="preserve"> </w:t>
      </w:r>
      <w:hyperlink w:anchor="tbl-dataset-desc">
        <w:r>
          <w:rPr>
            <w:rStyle w:val="Hipercze"/>
          </w:rPr>
          <w:t xml:space="preserve">Table 1</w:t>
        </w:r>
      </w:hyperlink>
      <w:r>
        <w:t xml:space="preserve">.</w:t>
      </w:r>
    </w:p>
    <w:p>
      <w:pPr>
        <w:pStyle w:val="Tekstpodstawowy"/>
      </w:pPr>
      <w:r>
        <w:t xml:space="preserve">There exist several studies using Refinitiv data. In most cases, these data are neither not supplemented with other sources, nor gaps in the data are filled with data from other sources consistent with Refinitiv. Moreover, sometimes markest data come from several markets with slightly different factors impacting market behaviour. Our contribution in this paper is to focus on complete and consistent set of data coming from one market. Therefore, we believe that consistency adds weight and importance to our findings.</w:t>
      </w:r>
    </w:p>
    <w:tbl>
      <w:tblPr>
        <w:tblStyle w:val="Table"/>
        <w:tblW w:type="pct" w:w="5000"/>
        <w:tblLayout w:type="fixed"/>
        <w:tblLook w:firstRow="0" w:lastRow="0" w:firstColumn="0" w:lastColumn="0" w:noHBand="0" w:noVBand="0" w:val="0000"/>
      </w:tblPr>
      <w:tblGrid>
        <w:gridCol w:w="7920"/>
      </w:tblGrid>
      <w:tr>
        <w:tc>
          <w:tcPr/>
          <w:bookmarkStart w:id="24" w:name="tbl-dataset-desc"/>
          <w:p>
            <w:pPr>
              <w:jc w:val="center"/>
            </w:pPr>
            <w:pPr>
              <w:jc w:val="start"/>
              <w:spacing w:before="200"/>
              <w:pStyle w:val="ImageCaption"/>
            </w:pPr>
            <w:r>
              <w:t xml:space="preserve">Table 1: Description of data in the dataset.</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193"/>
              <w:gridCol w:w="4377"/>
              <w:gridCol w:w="2616"/>
            </w:tblGrid>
            <w:tr>
              <w:trPr>
                <w:trHeight w:val="559"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Variable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Description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Source</w:t>
                  </w:r>
                </w:p>
              </w:tc>
            </w:tr>
            <w:tr>
              <w:trPr>
                <w:trHeight w:val="561"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 Score (%)</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Refinitiv</w:t>
                  </w:r>
                </w:p>
              </w:tc>
            </w:tr>
            <w:tr>
              <w:trPr>
                <w:trHeight w:val="561"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ESG_ENV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 environmental score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Refinitiv</w:t>
                  </w:r>
                </w:p>
              </w:tc>
            </w:tr>
            <w:tr>
              <w:trPr>
                <w:trHeight w:val="561"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ESG_SOC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 social score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Refinitiv</w:t>
                  </w:r>
                </w:p>
              </w:tc>
            </w:tr>
            <w:tr>
              <w:trPr>
                <w:trHeight w:val="564"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ESG_GOV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 governance score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Refinitiv</w:t>
                  </w:r>
                </w:p>
              </w:tc>
            </w:tr>
            <w:tr>
              <w:trPr>
                <w:trHeight w:val="5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LLA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Loan Loss Allowances (mln PLN)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Refinitiv</w:t>
                  </w:r>
                </w:p>
              </w:tc>
            </w:tr>
            <w:tr>
              <w:trPr>
                <w:trHeight w:val="561"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TGL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Total Gross Loans (mln PLN)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Refinitiv</w:t>
                  </w:r>
                </w:p>
              </w:tc>
            </w:tr>
            <w:tr>
              <w:trPr>
                <w:trHeight w:val="5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PT_INC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Pre-tax income (mln PLN)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Financial statements</w:t>
                  </w:r>
                </w:p>
              </w:tc>
            </w:tr>
            <w:tr>
              <w:trPr>
                <w:trHeight w:val="563"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NPLA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Non-Performing Loans Actual (mln PLN)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Refinitiv</w:t>
                  </w:r>
                </w:p>
              </w:tc>
            </w:tr>
            <w:tr>
              <w:trPr>
                <w:trHeight w:val="5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TAA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Total Assets (mln PLN)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Financial statements</w:t>
                  </w:r>
                </w:p>
              </w:tc>
            </w:tr>
            <w:tr>
              <w:trPr>
                <w:trHeight w:val="564"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CAPR1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Capital Adequacy Ratio (tier 1/risk-weighted assets)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ORBIS</w:t>
                  </w:r>
                </w:p>
              </w:tc>
            </w:tr>
            <w:tr>
              <w:trPr>
                <w:trHeight w:val="564"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BESG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Bloomberg ESG Score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Bloomberg</w:t>
                  </w:r>
                </w:p>
              </w:tc>
            </w:tr>
            <w:tr>
              <w:trPr>
                <w:trHeight w:val="561"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UNPL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Unemployment rate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Central Statistical Office (GUS)</w:t>
                  </w:r>
                </w:p>
              </w:tc>
            </w:tr>
            <w:tr>
              <w:trPr>
                <w:trHeight w:val="561"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INFL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Inflation CPI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Central Statistical Office (GUS)</w:t>
                  </w:r>
                </w:p>
              </w:tc>
            </w:tr>
            <w:tr>
              <w:trPr>
                <w:trHeight w:val="562" w:hRule="auto"/>
              </w:trPr>
              body14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GDP</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GDP in constant prices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Central Statistical Office (GUS)</w:t>
                  </w:r>
                </w:p>
              </w:tc>
            </w:tr>
          </w:tbl>
          <w:bookmarkEnd w:id="24"/>
        </w:tc>
      </w:tr>
    </w:tbl>
    <w:p>
      <w:pPr>
        <w:pStyle w:val="Tekstpodstawowy"/>
      </w:pPr>
      <w:r>
        <w:t xml:space="preserve">To continue analysis in terms comparable with other studies, we need to add four additional variables to the dataset. Those four variables are calculated with already existing data. Descriptions of those four additional variables are provided in</w:t>
      </w:r>
      <w:r>
        <w:t xml:space="preserve"> </w:t>
      </w:r>
      <w:hyperlink w:anchor="tbl-additional-vars">
        <w:r>
          <w:rPr>
            <w:rStyle w:val="Hipercze"/>
          </w:rPr>
          <w:t xml:space="preserve">Table 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25" w:name="tbl-additional-vars"/>
          <w:p>
            <w:pPr>
              <w:jc w:val="center"/>
            </w:pPr>
            <w:pPr>
              <w:jc w:val="start"/>
              <w:spacing w:before="200"/>
              <w:pStyle w:val="ImageCaption"/>
            </w:pPr>
            <w:r>
              <w:t xml:space="preserve">Table 2: Additional variables.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998"/>
              <w:gridCol w:w="7499"/>
            </w:tblGrid>
            <w:tr>
              <w:trPr>
                <w:trHeight w:val="559"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Variable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Description</w:t>
                  </w:r>
                </w:p>
              </w:tc>
            </w:tr>
            <w:tr>
              <w:trPr>
                <w:trHeight w:val="562"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NPL</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Non-performing loans ratio defined as non-performing assets deflated by total loans in previous year</w:t>
                  </w:r>
                </w:p>
              </w:tc>
            </w:tr>
            <w:tr>
              <w:trPr>
                <w:trHeight w:val="561"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LOAN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Total loans deflated by total assets in previous year</w:t>
                  </w:r>
                </w:p>
              </w:tc>
            </w:tr>
            <w:tr>
              <w:trPr>
                <w:trHeight w:val="561"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ALW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Loan loss allowance in year deflated by total loans in previous year</w:t>
                  </w:r>
                </w:p>
              </w:tc>
            </w:tr>
            <w:tr>
              <w:trPr>
                <w:trHeight w:val="561"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ROA</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Return on assets defined as pre-tax income deflated by total assets in previous year</w:t>
                  </w:r>
                </w:p>
              </w:tc>
            </w:tr>
          </w:tbl>
          <w:bookmarkEnd w:id="25"/>
        </w:tc>
      </w:tr>
    </w:tbl>
    <w:p>
      <w:pPr>
        <w:pStyle w:val="Tekstpodstawowy"/>
      </w:pPr>
      <w:r>
        <w:t xml:space="preserve">We define new variables as:</w:t>
      </w:r>
    </w:p>
    <w:p>
      <w:pPr>
        <w:pStyle w:val="Tekstpodstawowy"/>
      </w:pPr>
      <m:oMathPara>
        <m:oMathParaPr>
          <m:jc m:val="center"/>
        </m:oMathParaPr>
        <m:oMath>
          <m:m>
            <m:mPr>
              <m:baseJc m:val="center"/>
              <m:plcHide m:val="on"/>
              <m:mcs>
                <m:mc>
                  <m:mcPr>
                    <m:mcJc m:val="right"/>
                    <m:count m:val="1"/>
                  </m:mcPr>
                </m:mc>
                <m:mc>
                  <m:mcPr>
                    <m:mcJc m:val="left"/>
                    <m:count m:val="1"/>
                  </m:mcPr>
                </m:mc>
              </m:mcs>
            </m:mPr>
            <m:mr>
              <m:e>
                <m:r>
                  <m:t>N</m:t>
                </m:r>
                <m:r>
                  <m:t>P</m:t>
                </m:r>
                <m:sSub>
                  <m:e>
                    <m:r>
                      <m:t>L</m:t>
                    </m:r>
                  </m:e>
                  <m:sub>
                    <m:r>
                      <m:t>i</m:t>
                    </m:r>
                    <m:r>
                      <m:rPr>
                        <m:sty m:val="p"/>
                      </m:rPr>
                      <m:t>,</m:t>
                    </m:r>
                    <m:r>
                      <m:t>t</m:t>
                    </m:r>
                  </m:sub>
                </m:sSub>
              </m:e>
              <m:e>
                <m:r>
                  <m:rPr>
                    <m:sty m:val="p"/>
                  </m:rPr>
                  <m:t>=</m:t>
                </m:r>
                <m:f>
                  <m:fPr>
                    <m:type m:val="bar"/>
                  </m:fPr>
                  <m:num>
                    <m:r>
                      <m:t>N</m:t>
                    </m:r>
                    <m:r>
                      <m:t>P</m:t>
                    </m:r>
                    <m:r>
                      <m:t>L</m:t>
                    </m:r>
                    <m:sSub>
                      <m:e>
                        <m:r>
                          <m:t>A</m:t>
                        </m:r>
                      </m:e>
                      <m:sub>
                        <m:r>
                          <m:t>i</m:t>
                        </m:r>
                        <m:r>
                          <m:rPr>
                            <m:sty m:val="p"/>
                          </m:rPr>
                          <m:t>,</m:t>
                        </m:r>
                        <m:r>
                          <m:t>t</m:t>
                        </m:r>
                      </m:sub>
                    </m:sSub>
                  </m:num>
                  <m:den>
                    <m:r>
                      <m:t>T</m:t>
                    </m:r>
                    <m:r>
                      <m:t>G</m:t>
                    </m:r>
                    <m:sSub>
                      <m:e>
                        <m:r>
                          <m:t>L</m:t>
                        </m:r>
                      </m:e>
                      <m:sub>
                        <m:r>
                          <m:t>i</m:t>
                        </m:r>
                        <m:r>
                          <m:rPr>
                            <m:sty m:val="p"/>
                          </m:rPr>
                          <m:t>,</m:t>
                        </m:r>
                        <m:r>
                          <m:t>t</m:t>
                        </m:r>
                        <m:r>
                          <m:rPr>
                            <m:sty m:val="p"/>
                          </m:rPr>
                          <m:t>−</m:t>
                        </m:r>
                        <m:r>
                          <m:t>1</m:t>
                        </m:r>
                      </m:sub>
                    </m:sSub>
                  </m:den>
                </m:f>
              </m:e>
            </m:mr>
            <m:mr>
              <m:e>
                <m:r>
                  <m:t>L</m:t>
                </m:r>
                <m:r>
                  <m:t>O</m:t>
                </m:r>
                <m:r>
                  <m:t>A</m:t>
                </m:r>
                <m:sSub>
                  <m:e>
                    <m:r>
                      <m:t>N</m:t>
                    </m:r>
                  </m:e>
                  <m:sub>
                    <m:r>
                      <m:t>i</m:t>
                    </m:r>
                    <m:r>
                      <m:rPr>
                        <m:sty m:val="p"/>
                      </m:rPr>
                      <m:t>,</m:t>
                    </m:r>
                    <m:r>
                      <m:t>t</m:t>
                    </m:r>
                  </m:sub>
                </m:sSub>
              </m:e>
              <m:e>
                <m:r>
                  <m:rPr>
                    <m:sty m:val="p"/>
                  </m:rPr>
                  <m:t>=</m:t>
                </m:r>
                <m:f>
                  <m:fPr>
                    <m:type m:val="bar"/>
                  </m:fPr>
                  <m:num>
                    <m:r>
                      <m:t>T</m:t>
                    </m:r>
                    <m:r>
                      <m:t>G</m:t>
                    </m:r>
                    <m:sSub>
                      <m:e>
                        <m:r>
                          <m:t>L</m:t>
                        </m:r>
                      </m:e>
                      <m:sub>
                        <m:r>
                          <m:t>i</m:t>
                        </m:r>
                        <m:r>
                          <m:rPr>
                            <m:sty m:val="p"/>
                          </m:rPr>
                          <m:t>,</m:t>
                        </m:r>
                        <m:r>
                          <m:t>t</m:t>
                        </m:r>
                      </m:sub>
                    </m:sSub>
                  </m:num>
                  <m:den>
                    <m:r>
                      <m:t>T</m:t>
                    </m:r>
                    <m:r>
                      <m:t>A</m:t>
                    </m:r>
                    <m:sSub>
                      <m:e>
                        <m:r>
                          <m:t>A</m:t>
                        </m:r>
                      </m:e>
                      <m:sub>
                        <m:r>
                          <m:t>i</m:t>
                        </m:r>
                        <m:r>
                          <m:rPr>
                            <m:sty m:val="p"/>
                          </m:rPr>
                          <m:t>,</m:t>
                        </m:r>
                        <m:r>
                          <m:t>t</m:t>
                        </m:r>
                        <m:r>
                          <m:rPr>
                            <m:sty m:val="p"/>
                          </m:rPr>
                          <m:t>−</m:t>
                        </m:r>
                        <m:r>
                          <m:t>1</m:t>
                        </m:r>
                      </m:sub>
                    </m:sSub>
                  </m:den>
                </m:f>
              </m:e>
            </m:mr>
            <m:mr>
              <m:e>
                <m:r>
                  <m:t>A</m:t>
                </m:r>
                <m:r>
                  <m:t>L</m:t>
                </m:r>
                <m:sSub>
                  <m:e>
                    <m:r>
                      <m:t>W</m:t>
                    </m:r>
                  </m:e>
                  <m:sub>
                    <m:r>
                      <m:t>i</m:t>
                    </m:r>
                    <m:r>
                      <m:rPr>
                        <m:sty m:val="p"/>
                      </m:rPr>
                      <m:t>,</m:t>
                    </m:r>
                    <m:r>
                      <m:t>t</m:t>
                    </m:r>
                  </m:sub>
                </m:sSub>
              </m:e>
              <m:e>
                <m:r>
                  <m:rPr>
                    <m:sty m:val="p"/>
                  </m:rPr>
                  <m:t>=</m:t>
                </m:r>
                <m:f>
                  <m:fPr>
                    <m:type m:val="bar"/>
                  </m:fPr>
                  <m:num>
                    <m:r>
                      <m:t>L</m:t>
                    </m:r>
                    <m:r>
                      <m:t>L</m:t>
                    </m:r>
                    <m:r>
                      <m:t>A</m:t>
                    </m:r>
                  </m:num>
                  <m:den>
                    <m:r>
                      <m:t>T</m:t>
                    </m:r>
                    <m:r>
                      <m:t>G</m:t>
                    </m:r>
                    <m:sSub>
                      <m:e>
                        <m:r>
                          <m:t>L</m:t>
                        </m:r>
                      </m:e>
                      <m:sub>
                        <m:r>
                          <m:t>i</m:t>
                        </m:r>
                        <m:r>
                          <m:rPr>
                            <m:sty m:val="p"/>
                          </m:rPr>
                          <m:t>,</m:t>
                        </m:r>
                        <m:r>
                          <m:t>t</m:t>
                        </m:r>
                        <m:r>
                          <m:rPr>
                            <m:sty m:val="p"/>
                          </m:rPr>
                          <m:t>−</m:t>
                        </m:r>
                        <m:r>
                          <m:t>1</m:t>
                        </m:r>
                      </m:sub>
                    </m:sSub>
                  </m:den>
                </m:f>
              </m:e>
            </m:mr>
            <m:mr>
              <m:e>
                <m:r>
                  <m:t>R</m:t>
                </m:r>
                <m:r>
                  <m:t>O</m:t>
                </m:r>
                <m:sSub>
                  <m:e>
                    <m:r>
                      <m:t>A</m:t>
                    </m:r>
                  </m:e>
                  <m:sub>
                    <m:r>
                      <m:t>i</m:t>
                    </m:r>
                    <m:r>
                      <m:rPr>
                        <m:sty m:val="p"/>
                      </m:rPr>
                      <m:t>,</m:t>
                    </m:r>
                    <m:r>
                      <m:t>t</m:t>
                    </m:r>
                  </m:sub>
                </m:sSub>
              </m:e>
              <m:e>
                <m:r>
                  <m:rPr>
                    <m:sty m:val="p"/>
                  </m:rPr>
                  <m:t>=</m:t>
                </m:r>
                <m:f>
                  <m:fPr>
                    <m:type m:val="bar"/>
                  </m:fPr>
                  <m:num>
                    <m:r>
                      <m:t>P</m:t>
                    </m:r>
                    <m:r>
                      <m:t>T</m:t>
                    </m:r>
                    <m:r>
                      <m:rPr>
                        <m:sty m:val="p"/>
                      </m:rPr>
                      <m:t>_</m:t>
                    </m:r>
                    <m:r>
                      <m:t>I</m:t>
                    </m:r>
                    <m:r>
                      <m:t>N</m:t>
                    </m:r>
                    <m:sSub>
                      <m:e>
                        <m:r>
                          <m:t>C</m:t>
                        </m:r>
                      </m:e>
                      <m:sub>
                        <m:r>
                          <m:t>i</m:t>
                        </m:r>
                        <m:r>
                          <m:rPr>
                            <m:sty m:val="p"/>
                          </m:rPr>
                          <m:t>,</m:t>
                        </m:r>
                        <m:r>
                          <m:t>t</m:t>
                        </m:r>
                      </m:sub>
                    </m:sSub>
                  </m:num>
                  <m:den>
                    <m:r>
                      <m:t>T</m:t>
                    </m:r>
                    <m:r>
                      <m:t>A</m:t>
                    </m:r>
                    <m:sSub>
                      <m:e>
                        <m:r>
                          <m:t>A</m:t>
                        </m:r>
                      </m:e>
                      <m:sub>
                        <m:r>
                          <m:t>i</m:t>
                        </m:r>
                        <m:r>
                          <m:rPr>
                            <m:sty m:val="p"/>
                          </m:rPr>
                          <m:t>,</m:t>
                        </m:r>
                        <m:r>
                          <m:t>t</m:t>
                        </m:r>
                        <m:r>
                          <m:rPr>
                            <m:sty m:val="p"/>
                          </m:rPr>
                          <m:t>−</m:t>
                        </m:r>
                        <m:r>
                          <m:t>1</m:t>
                        </m:r>
                      </m:sub>
                    </m:sSub>
                  </m:den>
                </m:f>
              </m:e>
            </m:mr>
          </m:m>
        </m:oMath>
      </m:oMathPara>
    </w:p>
    <w:p>
      <w:pPr>
        <w:pStyle w:val="FirstParagraph"/>
      </w:pPr>
      <w:r>
        <w:t xml:space="preserve">Summary statistics for newly created variables and per period change in</w:t>
      </w:r>
      <w:r>
        <w:t xml:space="preserve"> </w:t>
      </w:r>
      <m:oMath>
        <m:r>
          <m:t>L</m:t>
        </m:r>
        <m:r>
          <m:t>O</m:t>
        </m:r>
        <m:r>
          <m:t>A</m:t>
        </m:r>
        <m:r>
          <m:t>N</m:t>
        </m:r>
      </m:oMath>
      <w:r>
        <w:t xml:space="preserve"> </w:t>
      </w:r>
      <w:r>
        <w:t xml:space="preserve">are presented in</w:t>
      </w:r>
      <w:r>
        <w:t xml:space="preserve"> </w:t>
      </w:r>
      <w:hyperlink w:anchor="tbl-summary-stats">
        <w:r>
          <w:rPr>
            <w:rStyle w:val="Hipercze"/>
          </w:rPr>
          <w:t xml:space="preserve">Table 3</w:t>
        </w:r>
      </w:hyperlink>
      <w:r>
        <w:t xml:space="preserve">. In this table, we also present summary statistics for economic factors such as GDP growth in constant prices, unemployment, and inflation. Those variables are identical for each bank.</w:t>
      </w:r>
    </w:p>
    <w:tbl>
      <w:tblPr>
        <w:tblStyle w:val="Table"/>
        <w:tblW w:type="pct" w:w="5000"/>
        <w:tblLayout w:type="fixed"/>
        <w:tblLook w:firstRow="0" w:lastRow="0" w:firstColumn="0" w:lastColumn="0" w:noHBand="0" w:noVBand="0" w:val="0000"/>
      </w:tblPr>
      <w:tblGrid>
        <w:gridCol w:w="7920"/>
      </w:tblGrid>
      <w:tr>
        <w:tc>
          <w:tcPr/>
          <w:bookmarkStart w:id="26" w:name="tbl-summary-stats"/>
          <w:p>
            <w:pPr>
              <w:jc w:val="center"/>
            </w:pPr>
            <w:pPr>
              <w:jc w:val="start"/>
              <w:spacing w:before="200"/>
              <w:pStyle w:val="ImageCaption"/>
            </w:pPr>
            <w:r>
              <w:t xml:space="preserve">Table 3: Summary statistics for relevant variables and economic factors.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193"/>
              <w:gridCol w:w="589"/>
              <w:gridCol w:w="953"/>
              <w:gridCol w:w="900"/>
              <w:gridCol w:w="953"/>
              <w:gridCol w:w="953"/>
            </w:tblGrid>
            <w:tr>
              <w:trPr>
                <w:trHeight w:val="532"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Mean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SD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Min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Max</w:t>
                  </w:r>
                </w:p>
              </w:tc>
            </w:tr>
            <w:tr>
              <w:trPr>
                <w:trHeight w:val="532"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0.5563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0.1617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0.1902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0.8739</w:t>
                  </w:r>
                </w:p>
              </w:tc>
            </w:tr>
            <w:tr>
              <w:trPr>
                <w:trHeight w:val="532"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BESG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2.5496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0.9660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0.8900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4.5500</w:t>
                  </w:r>
                </w:p>
              </w:tc>
            </w:tr>
            <w:tr>
              <w:trPr>
                <w:trHeight w:val="549"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ESG_ENV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0.2514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0.9501</w:t>
                  </w:r>
                </w:p>
              </w:tc>
            </w:tr>
            <w:tr>
              <w:trPr>
                <w:trHeight w:val="549"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ESG_SOC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0.5557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0.2087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0.0808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0.9119</w:t>
                  </w:r>
                </w:p>
              </w:tc>
            </w:tr>
            <w:tr>
              <w:trPr>
                <w:trHeight w:val="549"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ESG_GOV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0.6041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0.1993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0.1991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0.9513</w:t>
                  </w:r>
                </w:p>
              </w:tc>
            </w:tr>
            <w:tr>
              <w:trPr>
                <w:trHeight w:val="526"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NPL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0.1587</w:t>
                  </w:r>
                </w:p>
              </w:tc>
            </w:tr>
            <w:tr>
              <w:trPr>
                <w:trHeight w:val="532"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LOAN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0.7114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0.1593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0.2979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1.2326</w:t>
                  </w:r>
                </w:p>
              </w:tc>
            </w:tr>
            <w:tr>
              <w:trPr>
                <w:trHeight w:val="526"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ALW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-0.1019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-0.0105</w:t>
                  </w:r>
                </w:p>
              </w:tc>
            </w:tr>
            <w:tr>
              <w:trPr>
                <w:trHeight w:val="532"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ΔLOAN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0.0920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0.5013</w:t>
                  </w:r>
                </w:p>
              </w:tc>
            </w:tr>
            <w:tr>
              <w:trPr>
                <w:trHeight w:val="532"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ROA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0.0410</w:t>
                  </w:r>
                </w:p>
              </w:tc>
            </w:tr>
            <w:tr>
              <w:trPr>
                <w:trHeight w:val="532"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CAPR1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0.1681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0.0969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0.2360</w:t>
                  </w:r>
                </w:p>
              </w:tc>
            </w:tr>
            <w:tr>
              <w:trPr>
                <w:trHeight w:val="532"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GDP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0.0690</w:t>
                  </w:r>
                </w:p>
              </w:tc>
            </w:tr>
            <w:tr>
              <w:trPr>
                <w:trHeight w:val="528"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UNPL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0.1340</w:t>
                  </w:r>
                </w:p>
              </w:tc>
            </w:tr>
            <w:tr>
              <w:trPr>
                <w:trHeight w:val="526" w:hRule="auto"/>
              </w:trPr>
              body14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INFL</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0.0376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0.0463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0.1440</w:t>
                  </w:r>
                </w:p>
              </w:tc>
            </w:tr>
          </w:tbl>
          <w:bookmarkEnd w:id="26"/>
        </w:tc>
      </w:tr>
    </w:tbl>
    <w:p>
      <w:pPr>
        <w:pStyle w:val="Tekstpodstawowy"/>
      </w:pPr>
      <w:r>
        <w:t xml:space="preserve">After extending the dataset with new variables and adding economy level data, we can proceed to model the relationship between non-performing loans ratio and bank and economy level variables.</w:t>
      </w:r>
    </w:p>
    <w:p>
      <w:pPr>
        <w:pStyle w:val="Tekstpodstawowy"/>
      </w:pPr>
      <w:r>
        <w:t xml:space="preserve">Correlation data for relevant variables is presented in</w:t>
      </w:r>
      <w:r>
        <w:t xml:space="preserve"> </w:t>
      </w:r>
      <w:hyperlink w:anchor="fig-correlation-plot">
        <w:r>
          <w:rPr>
            <w:rStyle w:val="Hipercze"/>
          </w:rPr>
          <w:t xml:space="preserve">Figure 1</w:t>
        </w:r>
      </w:hyperlink>
      <w:r>
        <w:t xml:space="preserve">. The lower triangle of the chart presents pairs of variables in data along with fitted linear regression with 95% confidence intervals. The upper triangle presents colour coded Pearson’s correlation values. On the diagonal, we have non-parametric distributions for each variable. Several variables are uncorrelated. The strongest correlation is between ESG score variable and its distinctive environmental, social, and governance components. Another cluster of correlated variables consists of loan loss allowance, total gross loans, and pre-tax income.</w:t>
      </w:r>
    </w:p>
    <w:tbl>
      <w:tblPr>
        <w:tblStyle w:val="Table"/>
        <w:tblW w:type="pct" w:w="5000"/>
        <w:tblLayout w:type="fixed"/>
        <w:tblLook w:firstRow="0" w:lastRow="0" w:firstColumn="0" w:lastColumn="0" w:noHBand="0" w:noVBand="0" w:val="0000"/>
      </w:tblPr>
      <w:tblGrid>
        <w:gridCol w:w="7920"/>
      </w:tblGrid>
      <w:tr>
        <w:tc>
          <w:tcPr/>
          <w:bookmarkStart w:id="31" w:name="fig-correlation-plot"/>
          <w:p>
            <w:pPr>
              <w:jc w:val="center"/>
            </w:pPr>
            <w:pPr>
              <w:jc w:val="start"/>
              <w:spacing w:before="200"/>
              <w:pStyle w:val="ImageCaption"/>
            </w:pPr>
            <w:r>
              <w:t xml:space="preserve">Figure 1: Correlogram for relevant variables in the dataset.</w:t>
            </w:r>
          </w:p>
          <w:p>
            <w:pPr>
              <w:pStyle w:val="Compact"/>
              <w:jc w:val="center"/>
            </w:pPr>
            <w:r>
              <w:drawing>
                <wp:inline>
                  <wp:extent cx="4775200" cy="4775200"/>
                  <wp:effectExtent b="0" l="0" r="0" t="0"/>
                  <wp:docPr descr="" title="" id="28" name="Picture"/>
                  <a:graphic>
                    <a:graphicData uri="http://schemas.openxmlformats.org/drawingml/2006/picture">
                      <pic:pic>
                        <pic:nvPicPr>
                          <pic:cNvPr descr="ESG_in_banks_v2_files/figure-docx/fig-correlation-plot-1.svg" id="29" name="Picture"/>
                          <pic:cNvPicPr>
                            <a:picLocks noChangeArrowheads="1" noChangeAspect="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bwMode="auto">
                          <a:xfrm>
                            <a:off x="0" y="0"/>
                            <a:ext cx="4775200" cy="4775200"/>
                          </a:xfrm>
                          <a:prstGeom prst="rect">
                            <a:avLst/>
                          </a:prstGeom>
                          <a:noFill/>
                          <a:ln w="9525">
                            <a:noFill/>
                            <a:headEnd/>
                            <a:tailEnd/>
                          </a:ln>
                        </pic:spPr>
                      </pic:pic>
                    </a:graphicData>
                  </a:graphic>
                </wp:inline>
              </w:drawing>
            </w:r>
          </w:p>
          <w:bookmarkEnd w:id="31"/>
        </w:tc>
      </w:tr>
    </w:tbl>
    <w:tbl>
      <w:tblPr>
        <w:tblStyle w:val="Table"/>
        <w:tblW w:type="pct" w:w="5000"/>
        <w:tblLayout w:type="fixed"/>
        <w:tblLook w:firstRow="0" w:lastRow="0" w:firstColumn="0" w:lastColumn="0" w:noHBand="0" w:noVBand="0" w:val="0000"/>
      </w:tblPr>
      <w:tblGrid>
        <w:gridCol w:w="7920"/>
      </w:tblGrid>
      <w:tr>
        <w:tc>
          <w:tcPr/>
          <w:bookmarkStart w:id="36" w:name="fig-correlation-plot-economy"/>
          <w:p>
            <w:pPr>
              <w:jc w:val="center"/>
            </w:pPr>
            <w:pPr>
              <w:jc w:val="start"/>
              <w:spacing w:before="200"/>
              <w:pStyle w:val="ImageCaption"/>
            </w:pPr>
            <w:r>
              <w:t xml:space="preserve">Figure 2: Correlogram for economy level variables in the dataset.</w:t>
            </w:r>
          </w:p>
          <w:p>
            <w:pPr>
              <w:pStyle w:val="Compact"/>
              <w:jc w:val="center"/>
            </w:pPr>
            <w:r>
              <w:drawing>
                <wp:inline>
                  <wp:extent cx="2089150" cy="2089150"/>
                  <wp:effectExtent b="0" l="0" r="0" t="0"/>
                  <wp:docPr descr="" title="" id="33" name="Picture"/>
                  <a:graphic>
                    <a:graphicData uri="http://schemas.openxmlformats.org/drawingml/2006/picture">
                      <pic:pic>
                        <pic:nvPicPr>
                          <pic:cNvPr descr="ESG_in_banks_v2_files/figure-docx/fig-correlation-plot-economy-1.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2089150" cy="2089150"/>
                          </a:xfrm>
                          <a:prstGeom prst="rect">
                            <a:avLst/>
                          </a:prstGeom>
                          <a:noFill/>
                          <a:ln w="9525">
                            <a:noFill/>
                            <a:headEnd/>
                            <a:tailEnd/>
                          </a:ln>
                        </pic:spPr>
                      </pic:pic>
                    </a:graphicData>
                  </a:graphic>
                </wp:inline>
              </w:drawing>
            </w:r>
          </w:p>
          <w:bookmarkEnd w:id="36"/>
        </w:tc>
      </w:tr>
    </w:tbl>
    <w:p>
      <w:pPr>
        <w:pStyle w:val="Tekstpodstawowy"/>
      </w:pPr>
      <w:r>
        <w:t xml:space="preserve">We want to focus on the impact of ESG scores on non-performing loans in commercial banks. In the dataset, we have four variables related to ESG. First, we have Refinitiv ESG score (</w:t>
      </w:r>
      <m:oMath>
        <m:r>
          <m:t>E</m:t>
        </m:r>
        <m:r>
          <m:t>S</m:t>
        </m:r>
        <m:r>
          <m:t>G</m:t>
        </m:r>
      </m:oMath>
      <w:r>
        <w:t xml:space="preserve">) and its three pillars: environmental (</w:t>
      </w:r>
      <m:oMath>
        <m:r>
          <m:t>E</m:t>
        </m:r>
        <m:r>
          <m:t>S</m:t>
        </m:r>
        <m:r>
          <m:t>G</m:t>
        </m:r>
        <m:r>
          <m:rPr>
            <m:sty m:val="p"/>
          </m:rPr>
          <m:t>_</m:t>
        </m:r>
        <m:r>
          <m:t>E</m:t>
        </m:r>
        <m:r>
          <m:t>N</m:t>
        </m:r>
        <m:r>
          <m:t>V</m:t>
        </m:r>
      </m:oMath>
      <w:r>
        <w:t xml:space="preserve">), social (</w:t>
      </w:r>
      <m:oMath>
        <m:r>
          <m:t>E</m:t>
        </m:r>
        <m:r>
          <m:t>S</m:t>
        </m:r>
        <m:r>
          <m:t>G</m:t>
        </m:r>
        <m:r>
          <m:rPr>
            <m:sty m:val="p"/>
          </m:rPr>
          <m:t>_</m:t>
        </m:r>
        <m:r>
          <m:t>S</m:t>
        </m:r>
        <m:r>
          <m:t>O</m:t>
        </m:r>
        <m:r>
          <m:t>C</m:t>
        </m:r>
      </m:oMath>
      <w:r>
        <w:t xml:space="preserve">), and governance (</w:t>
      </w:r>
      <m:oMath>
        <m:r>
          <m:t>E</m:t>
        </m:r>
        <m:r>
          <m:t>S</m:t>
        </m:r>
        <m:r>
          <m:t>G</m:t>
        </m:r>
        <m:r>
          <m:rPr>
            <m:sty m:val="p"/>
          </m:rPr>
          <m:t>_</m:t>
        </m:r>
        <m:r>
          <m:t>G</m:t>
        </m:r>
        <m:r>
          <m:t>O</m:t>
        </m:r>
        <m:r>
          <m:t>V</m:t>
        </m:r>
      </m:oMath>
      <w:r>
        <w:t xml:space="preserve">). Independently, we also have Bloomberg ESG score (</w:t>
      </w:r>
      <m:oMath>
        <m:r>
          <m:t>B</m:t>
        </m:r>
        <m:r>
          <m:t>E</m:t>
        </m:r>
        <m:r>
          <m:t>S</m:t>
        </m:r>
        <m:r>
          <m:t>G</m:t>
        </m:r>
      </m:oMath>
      <w:r>
        <w:t xml:space="preserve">). Note that ESG scores are, like any other scoring method, heavily dependent on how company level data are transformed into scoring for a given company. Given the proprietary nature of both Refinitiv and Bloomberg scores, we have to take them for granted, without good understanding of the methodology used by each supplier. What is important is to note that those two measures are not correlated to the extent which would make us believe that they measure the same phenomenon.</w:t>
      </w:r>
      <w:r>
        <w:t xml:space="preserve"> </w:t>
      </w:r>
      <w:hyperlink w:anchor="fig-esg-plot">
        <w:r>
          <w:rPr>
            <w:rStyle w:val="Hipercze"/>
          </w:rPr>
          <w:t xml:space="preserve">Figure 3</w:t>
        </w:r>
      </w:hyperlink>
      <w:r>
        <w:t xml:space="preserve"> </w:t>
      </w:r>
      <w:r>
        <w:t xml:space="preserve">presents the graphical representation of ESG data for each bank in the sample.</w:t>
      </w:r>
    </w:p>
    <w:tbl>
      <w:tblPr>
        <w:tblStyle w:val="Table"/>
        <w:tblW w:type="pct" w:w="5000"/>
        <w:tblLayout w:type="fixed"/>
        <w:tblLook w:firstRow="0" w:lastRow="0" w:firstColumn="0" w:lastColumn="0" w:noHBand="0" w:noVBand="0" w:val="0000"/>
      </w:tblPr>
      <w:tblGrid>
        <w:gridCol w:w="7920"/>
      </w:tblGrid>
      <w:tr>
        <w:tc>
          <w:tcPr/>
          <w:bookmarkStart w:id="41" w:name="fig-esg-plot"/>
          <w:p>
            <w:pPr>
              <w:jc w:val="center"/>
            </w:pPr>
            <w:pPr>
              <w:jc w:val="start"/>
              <w:spacing w:before="200"/>
              <w:pStyle w:val="ImageCaption"/>
            </w:pPr>
            <w:r>
              <w:t xml:space="preserve">Figure 3: Data on ESG scores and its components by bank.</w:t>
            </w:r>
          </w:p>
          <w:p>
            <w:pPr>
              <w:pStyle w:val="Compact"/>
              <w:jc w:val="center"/>
            </w:pPr>
            <w:r>
              <w:drawing>
                <wp:inline>
                  <wp:extent cx="5969000" cy="5969000"/>
                  <wp:effectExtent b="0" l="0" r="0" t="0"/>
                  <wp:docPr descr="" title="" id="38" name="Picture"/>
                  <a:graphic>
                    <a:graphicData uri="http://schemas.openxmlformats.org/drawingml/2006/picture">
                      <pic:pic>
                        <pic:nvPicPr>
                          <pic:cNvPr descr="ESG_in_banks_v2_files/figure-docx/fig-esg-plot-1.svg" id="39" name="Picture"/>
                          <pic:cNvPicPr>
                            <a:picLocks noChangeArrowheads="1" noChangeAspect="1"/>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5969000" cy="5969000"/>
                          </a:xfrm>
                          <a:prstGeom prst="rect">
                            <a:avLst/>
                          </a:prstGeom>
                          <a:noFill/>
                          <a:ln w="9525">
                            <a:noFill/>
                            <a:headEnd/>
                            <a:tailEnd/>
                          </a:ln>
                        </pic:spPr>
                      </pic:pic>
                    </a:graphicData>
                  </a:graphic>
                </wp:inline>
              </w:drawing>
            </w:r>
          </w:p>
          <w:bookmarkEnd w:id="41"/>
        </w:tc>
      </w:tr>
    </w:tbl>
    <w:p>
      <w:pPr>
        <w:pStyle w:val="Tekstpodstawowy"/>
      </w:pPr>
      <w:r>
        <w:t xml:space="preserve">Banks are named according to their symbols used on the Warsaw Stock Exchange. List of bank names is provided in</w:t>
      </w:r>
      <w:r>
        <w:t xml:space="preserve"> </w:t>
      </w:r>
      <w:hyperlink w:anchor="tbl-bank-names">
        <w:r>
          <w:rPr>
            <w:rStyle w:val="Hipercze"/>
          </w:rPr>
          <w:t xml:space="preserve">Table 4</w:t>
        </w:r>
      </w:hyperlink>
      <w:r>
        <w:t xml:space="preserve">. Most of commercial banks in Poland have foreign stakeholder and likely follow group guidelines for implementing ESG policies on local level. On the other hand, banks with local stakeholders have to develop their own standards and act accordingly. Part of the results section of this paper focuses on exploring the impact that this difference of ownership structure may have on ESG score impact on banks’ activity.</w:t>
      </w:r>
    </w:p>
    <w:tbl>
      <w:tblPr>
        <w:tblStyle w:val="Table"/>
        <w:tblW w:type="pct" w:w="5000"/>
        <w:tblLayout w:type="fixed"/>
        <w:tblLook w:firstRow="0" w:lastRow="0" w:firstColumn="0" w:lastColumn="0" w:noHBand="0" w:noVBand="0" w:val="0000"/>
      </w:tblPr>
      <w:tblGrid>
        <w:gridCol w:w="7920"/>
      </w:tblGrid>
      <w:tr>
        <w:tc>
          <w:tcPr/>
          <w:bookmarkStart w:id="42" w:name="tbl-bank-names"/>
          <w:p>
            <w:pPr>
              <w:jc w:val="center"/>
            </w:pPr>
            <w:pPr>
              <w:jc w:val="start"/>
              <w:spacing w:before="200"/>
              <w:pStyle w:val="ImageCaption"/>
            </w:pPr>
            <w:r>
              <w:t xml:space="preserve">Table 4: Bank symbols and bank names.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104"/>
              <w:gridCol w:w="2083"/>
              <w:gridCol w:w="3408"/>
            </w:tblGrid>
            <w:tr>
              <w:trPr>
                <w:trHeight w:val="563"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Symbol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Name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Stakeholder</w:t>
                  </w:r>
                </w:p>
              </w:tc>
            </w:tr>
            <w:tr>
              <w:trPr>
                <w:trHeight w:val="562"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ALR.WA</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Alior Bank</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until 10/2015 foregin then local: PZU</w:t>
                  </w:r>
                </w:p>
              </w:tc>
            </w:tr>
            <w:tr>
              <w:trPr>
                <w:trHeight w:val="5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BHW.WA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Bank Handlowy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Citibank</w:t>
                  </w:r>
                </w:p>
              </w:tc>
            </w:tr>
            <w:tr>
              <w:trPr>
                <w:trHeight w:val="562"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INGP.WA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ING Bank Polska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ING Groep</w:t>
                  </w:r>
                </w:p>
              </w:tc>
            </w:tr>
            <w:tr>
              <w:trPr>
                <w:trHeight w:val="532"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MBK.WA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mBank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Commerzbank</w:t>
                  </w:r>
                </w:p>
              </w:tc>
            </w:tr>
            <w:tr>
              <w:trPr>
                <w:trHeight w:val="564"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MLP.WA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Bank Millennium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Banco Comercial Português</w:t>
                  </w:r>
                </w:p>
              </w:tc>
            </w:tr>
            <w:tr>
              <w:trPr>
                <w:trHeight w:val="562"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PEO.WA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Bank Pekao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until 06/2017 foreign then local: PZU, PFR</w:t>
                  </w:r>
                </w:p>
              </w:tc>
            </w:tr>
            <w:tr>
              <w:trPr>
                <w:trHeight w:val="532"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PKO.WA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PKO Bank Polski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local: state</w:t>
                  </w:r>
                </w:p>
              </w:tc>
            </w:tr>
            <w:tr>
              <w:trPr>
                <w:trHeight w:val="562"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SPL1.WA</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Santander Bank Polska</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Santander Group</w:t>
                  </w:r>
                </w:p>
              </w:tc>
            </w:tr>
          </w:tbl>
          <w:bookmarkEnd w:id="42"/>
        </w:tc>
      </w:tr>
    </w:tbl>
    <w:p>
      <w:pPr>
        <w:pStyle w:val="Tekstpodstawowy"/>
      </w:pPr>
      <w:r>
        <w:t xml:space="preserve">ESG score is not a simple sum of scores per pillar. To make sure that there is a relevant relationship between pillar scores and summary ESG score in the sample, we consider model:</w:t>
      </w:r>
    </w:p>
    <w:p>
      <w:pPr>
        <w:pStyle w:val="Tekstpodstawowy"/>
      </w:pPr>
      <w:bookmarkStart w:id="43" w:name="eq-esg-model"/>
      <m:oMathPara>
        <m:oMathParaPr>
          <m:jc m:val="center"/>
        </m:oMathParaPr>
        <m:oMath>
          <m:r>
            <m:t>E</m:t>
          </m:r>
          <m:r>
            <m:t>S</m:t>
          </m:r>
          <m:sSub>
            <m:e>
              <m:r>
                <m:t>G</m:t>
              </m:r>
            </m:e>
            <m:sub>
              <m:r>
                <m:t>i</m:t>
              </m:r>
              <m:r>
                <m:rPr>
                  <m:sty m:val="p"/>
                </m:rPr>
                <m:t>,</m:t>
              </m:r>
              <m:r>
                <m:t>t</m:t>
              </m:r>
            </m:sub>
          </m:sSub>
          <m:r>
            <m:rPr>
              <m:sty m:val="p"/>
            </m:rPr>
            <m:t>=</m:t>
          </m:r>
          <m:sSub>
            <m:e>
              <m:r>
                <m:t>β</m:t>
              </m:r>
            </m:e>
            <m:sub>
              <m:r>
                <m:t>0</m:t>
              </m:r>
            </m:sub>
          </m:sSub>
          <m:r>
            <m:rPr>
              <m:sty m:val="p"/>
            </m:rPr>
            <m:t>+</m:t>
          </m:r>
          <m:sSub>
            <m:e>
              <m:r>
                <m:t>β</m:t>
              </m:r>
            </m:e>
            <m:sub>
              <m:r>
                <m:t>1</m:t>
              </m:r>
            </m:sub>
          </m:sSub>
          <m:r>
            <m:t>E</m:t>
          </m:r>
          <m:r>
            <m:t>S</m:t>
          </m:r>
          <m:r>
            <m:t>G</m:t>
          </m:r>
          <m:r>
            <m:rPr>
              <m:sty m:val="p"/>
            </m:rPr>
            <m:t>_</m:t>
          </m:r>
          <m:r>
            <m:t>E</m:t>
          </m:r>
          <m:r>
            <m:t>N</m:t>
          </m:r>
          <m:sSub>
            <m:e>
              <m:r>
                <m:t>V</m:t>
              </m:r>
            </m:e>
            <m:sub>
              <m:r>
                <m:t>i</m:t>
              </m:r>
              <m:r>
                <m:rPr>
                  <m:sty m:val="p"/>
                </m:rPr>
                <m:t>,</m:t>
              </m:r>
              <m:r>
                <m:t>t</m:t>
              </m:r>
            </m:sub>
          </m:sSub>
          <m:r>
            <m:rPr>
              <m:sty m:val="p"/>
            </m:rPr>
            <m:t>+</m:t>
          </m:r>
          <m:sSub>
            <m:e>
              <m:r>
                <m:t>β</m:t>
              </m:r>
            </m:e>
            <m:sub>
              <m:r>
                <m:t>2</m:t>
              </m:r>
            </m:sub>
          </m:sSub>
          <m:r>
            <m:t>E</m:t>
          </m:r>
          <m:r>
            <m:t>S</m:t>
          </m:r>
          <m:r>
            <m:t>G</m:t>
          </m:r>
          <m:r>
            <m:rPr>
              <m:sty m:val="p"/>
            </m:rPr>
            <m:t>_</m:t>
          </m:r>
          <m:r>
            <m:t>S</m:t>
          </m:r>
          <m:r>
            <m:t>O</m:t>
          </m:r>
          <m:sSub>
            <m:e>
              <m:r>
                <m:t>C</m:t>
              </m:r>
            </m:e>
            <m:sub>
              <m:r>
                <m:t>i</m:t>
              </m:r>
              <m:r>
                <m:rPr>
                  <m:sty m:val="p"/>
                </m:rPr>
                <m:t>,</m:t>
              </m:r>
              <m:r>
                <m:t>t</m:t>
              </m:r>
            </m:sub>
          </m:sSub>
          <m:r>
            <m:rPr>
              <m:sty m:val="p"/>
            </m:rPr>
            <m:t>+</m:t>
          </m:r>
          <m:sSub>
            <m:e>
              <m:r>
                <m:t>β</m:t>
              </m:r>
            </m:e>
            <m:sub>
              <m:r>
                <m:t>3</m:t>
              </m:r>
            </m:sub>
          </m:sSub>
          <m:r>
            <m:t>E</m:t>
          </m:r>
          <m:r>
            <m:t>S</m:t>
          </m:r>
          <m:r>
            <m:t>G</m:t>
          </m:r>
          <m:r>
            <m:rPr>
              <m:sty m:val="p"/>
            </m:rPr>
            <m:t>_</m:t>
          </m:r>
          <m:r>
            <m:t>G</m:t>
          </m:r>
          <m:r>
            <m:t>O</m:t>
          </m:r>
          <m:sSub>
            <m:e>
              <m:r>
                <m:t>V</m:t>
              </m:r>
            </m:e>
            <m:sub>
              <m:r>
                <m:t>i</m:t>
              </m:r>
              <m:r>
                <m:rPr>
                  <m:sty m:val="p"/>
                </m:rPr>
                <m:t>,</m:t>
              </m:r>
              <m:r>
                <m:t>t</m:t>
              </m:r>
            </m:sub>
          </m:sSub>
          <m:r>
            <m:rPr>
              <m:sty m:val="p"/>
            </m:rPr>
            <m:t>+</m:t>
          </m:r>
          <m:sSub>
            <m:e>
              <m:r>
                <m:t>ε</m:t>
              </m:r>
            </m:e>
            <m:sub>
              <m:r>
                <m:t>i</m:t>
              </m:r>
              <m:r>
                <m:rPr>
                  <m:sty m:val="p"/>
                </m:rPr>
                <m:t>,</m:t>
              </m:r>
              <m:r>
                <m:t>t</m:t>
              </m:r>
            </m:sub>
          </m:sSub>
          <m:r>
            <m:rPr>
              <m:sty m:val="p"/>
            </m:rPr>
            <m:t>.</m:t>
          </m:r>
          <m:r>
            <m:t>  </m:t>
          </m:r>
          <m:d>
            <m:dPr>
              <m:begChr m:val="("/>
              <m:endChr m:val=")"/>
              <m:sepChr m:val=""/>
              <m:grow/>
            </m:dPr>
            <m:e>
              <m:r>
                <m:t>1</m:t>
              </m:r>
            </m:e>
          </m:d>
        </m:oMath>
      </m:oMathPara>
      <w:bookmarkEnd w:id="43"/>
    </w:p>
    <w:p>
      <w:pPr>
        <w:pStyle w:val="FirstParagraph"/>
      </w:pPr>
      <w:r>
        <w:t xml:space="preserve">The estimation results are presented in</w:t>
      </w:r>
      <w:r>
        <w:t xml:space="preserve"> </w:t>
      </w:r>
      <w:hyperlink w:anchor="tbl-esg-regression">
        <w:r>
          <w:rPr>
            <w:rStyle w:val="Hipercze"/>
          </w:rPr>
          <w:t xml:space="preserve">Table 5</w:t>
        </w:r>
      </w:hyperlink>
      <w:r>
        <w:t xml:space="preserve">. ESG scores for three ESG pillars are from Refinitiv database. Results clearly demonstrate that Bloomberg and Refinitiv ESG scores are not properly correlated. Likely approach to calculating the score by Bloomberg and Refinitiv differ substantially. On one hand, it is surprising because ESG scores are supposed to measure the same characteristic of each bank. On the other hand, SFDR directive guidelines do not provide solid basis for unequivocal rules for such calculations. Refinitiv ESG scores on per pillar level almost fully explain changes in total ESG score calculated by Refinitv. Social pillar score has the strongest influence on the total final ESG score.</w:t>
      </w:r>
    </w:p>
    <w:tbl>
      <w:tblPr>
        <w:tblStyle w:val="Table"/>
        <w:tblW w:type="pct" w:w="5000"/>
        <w:tblLayout w:type="fixed"/>
        <w:tblLook w:firstRow="0" w:lastRow="0" w:firstColumn="0" w:lastColumn="0" w:noHBand="0" w:noVBand="0" w:val="0000"/>
      </w:tblPr>
      <w:tblGrid>
        <w:gridCol w:w="7920"/>
      </w:tblGrid>
      <w:tr>
        <w:tc>
          <w:tcPr/>
          <w:bookmarkStart w:id="44" w:name="tbl-esg-regression"/>
          <w:p>
            <w:pPr>
              <w:jc w:val="center"/>
            </w:pPr>
            <w:pPr>
              <w:jc w:val="start"/>
              <w:spacing w:before="200"/>
              <w:pStyle w:val="ImageCaption"/>
            </w:pPr>
            <w:r>
              <w:t xml:space="preserve">Table 5: Results of regression of Refinive and Bloomberg ESG scores against ESG component scores.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193"/>
              <w:gridCol w:w="1080"/>
              <w:gridCol w:w="1080"/>
              <w:gridCol w:w="1442"/>
            </w:tblGrid>
            <w:tr>
              <w:trPr>
                <w:trHeight w:val="532"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BESG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 vs BESG</w:t>
                  </w:r>
                </w:p>
              </w:tc>
            </w:tr>
            <w:tr>
              <w:trPr>
                <w:trHeight w:val="561"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1.106*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0.408***</w:t>
                  </w:r>
                </w:p>
              </w:tc>
            </w:tr>
            <w:tr>
              <w:trPr>
                <w:trHeight w:val="5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(0.046)</w:t>
                  </w:r>
                </w:p>
              </w:tc>
            </w:tr>
            <w:tr>
              <w:trPr>
                <w:trHeight w:val="549"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ESG_ENV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49"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ESG_SOC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49"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ESG_GOV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32"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BESG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0.071***</w:t>
                  </w:r>
                </w:p>
              </w:tc>
            </w:tr>
            <w:tr>
              <w:trPr>
                <w:trHeight w:val="5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(0.017)</w:t>
                  </w:r>
                </w:p>
              </w:tc>
            </w:tr>
            <w:tr>
              <w:trPr>
                <w:trHeight w:val="532"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r>
            <w:tr>
              <w:trPr>
                <w:trHeight w:val="526"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0.996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0.204</w:t>
                  </w:r>
                </w:p>
              </w:tc>
            </w:tr>
            <w:tr>
              <w:trPr>
                <w:trHeight w:val="5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0.996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0.193</w:t>
                  </w:r>
                </w:p>
              </w:tc>
            </w:tr>
            <w:tr>
              <w:trPr>
                <w:trHeight w:val="532"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-548.7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182.6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-78.4</w:t>
                  </w:r>
                </w:p>
              </w:tc>
            </w:tr>
            <w:tr>
              <w:trPr>
                <w:trHeight w:val="532"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-536.3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193.9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-71.5</w:t>
                  </w:r>
                </w:p>
              </w:tc>
            </w:tr>
            <w:tr>
              <w:trPr>
                <w:trHeight w:val="561"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Log.Lik.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279.329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-86.277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42.176</w:t>
                  </w:r>
                </w:p>
              </w:tc>
            </w:tr>
            <w:tr>
              <w:trPr>
                <w:trHeight w:val="526"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7034.255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9.762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17.931</w:t>
                  </w:r>
                </w:p>
              </w:tc>
            </w:tr>
            <w:tr>
              <w:trPr>
                <w:trHeight w:val="532" w:hRule="auto"/>
              </w:trPr>
              body18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0.13</w:t>
                  </w:r>
                </w:p>
              </w:tc>
            </w:tr>
            <w:tr>
              <w:trPr>
                <w:trHeight w:val="360" w:hRule="auto"/>
              </w:trPr>
              footer 1
              <w:tc>
                <w:tcPr>
                  <w:gridSpan w:val="4"/>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p &lt; 0.1, * p &lt; 0.05, ** p &lt; 0.01, *** p &lt; 0.001</w:t>
                  </w:r>
                </w:p>
              </w:tc>
            </w:tr>
          </w:tbl>
          <w:bookmarkEnd w:id="44"/>
        </w:tc>
      </w:tr>
    </w:tbl>
    <w:bookmarkEnd w:id="45"/>
    <w:bookmarkStart w:id="48" w:name="research-methodology"/>
    <w:p>
      <w:pPr>
        <w:pStyle w:val="Nagwek1"/>
      </w:pPr>
      <w:r>
        <w:t xml:space="preserve">Research methodology</w:t>
      </w:r>
    </w:p>
    <w:p>
      <w:pPr>
        <w:pStyle w:val="FirstParagraph"/>
      </w:pPr>
      <w:r>
        <w:t xml:space="preserve">The focus of the study was to investigate the relationship between the non-performing loans ratio for the commercial banks in Poland and other factors considered relevant to non-performing loans ratio. Those factors can be either bank-specific or the same for each bank on market level. The dataset presented in the previous section consists of variables in both of those categories. The factor on which we will focus will be the impact of ESG score on non-performing loans.</w:t>
      </w:r>
    </w:p>
    <w:p>
      <w:pPr>
        <w:pStyle w:val="Tekstpodstawowy"/>
      </w:pPr>
      <w:r>
        <w:t xml:space="preserve">In general, economic factors influence the current situation of bank customers, so those factors should correspond to the current level of non-performing loans ratio. Similar situation occurs on the bank side with</w:t>
      </w:r>
      <w:r>
        <w:t xml:space="preserve"> </w:t>
      </w:r>
      <m:oMath>
        <m:r>
          <m:t>R</m:t>
        </m:r>
        <m:r>
          <m:t>O</m:t>
        </m:r>
        <m:r>
          <m:t>A</m:t>
        </m:r>
      </m:oMath>
      <w:r>
        <w:t xml:space="preserve"> </w:t>
      </w:r>
      <w:r>
        <w:t xml:space="preserve">and capital adequacy ratio (</w:t>
      </w:r>
      <m:oMath>
        <m:r>
          <m:t>C</m:t>
        </m:r>
        <m:r>
          <m:t>A</m:t>
        </m:r>
        <m:r>
          <m:t>P</m:t>
        </m:r>
        <m:r>
          <m:t>R</m:t>
        </m:r>
        <m:r>
          <m:t>1</m:t>
        </m:r>
      </m:oMath>
      <w:r>
        <w:t xml:space="preserve">). Those two factors reflect upon current economic condition of a bank. All other factors are considered as influencing next period non-performing loans ratio. Therefore, the initial regression model we want to consider is:</w:t>
      </w:r>
    </w:p>
    <w:p>
      <w:pPr>
        <w:pStyle w:val="Tekstpodstawowy"/>
      </w:pPr>
      <w:bookmarkStart w:id="46" w:name="eq-pooling-model"/>
      <m:oMathPara>
        <m:oMathParaPr>
          <m:jc m:val="center"/>
        </m:oMathParaPr>
        <m:oMath>
          <m:m>
            <m:mPr>
              <m:baseJc m:val="center"/>
              <m:plcHide m:val="on"/>
              <m:mcs>
                <m:mc>
                  <m:mcPr>
                    <m:mcJc m:val="right"/>
                    <m:count m:val="1"/>
                  </m:mcPr>
                </m:mc>
              </m:mcs>
            </m:mPr>
            <m:mr>
              <m:e>
                <m:r>
                  <m:t>N</m:t>
                </m:r>
                <m:r>
                  <m:t>P</m:t>
                </m:r>
                <m:sSub>
                  <m:e>
                    <m:r>
                      <m:t>L</m:t>
                    </m:r>
                  </m:e>
                  <m:sub>
                    <m:r>
                      <m:t>i</m:t>
                    </m:r>
                    <m:r>
                      <m:rPr>
                        <m:sty m:val="p"/>
                      </m:rPr>
                      <m:t>,</m:t>
                    </m:r>
                    <m:r>
                      <m:t>t</m:t>
                    </m:r>
                  </m:sub>
                </m:sSub>
                <m:r>
                  <m:rPr>
                    <m:sty m:val="p"/>
                  </m:rPr>
                  <m:t>=</m:t>
                </m:r>
                <m:sSub>
                  <m:e>
                    <m:r>
                      <m:t>β</m:t>
                    </m:r>
                  </m:e>
                  <m:sub>
                    <m:r>
                      <m:t>0</m:t>
                    </m:r>
                  </m:sub>
                </m:sSub>
                <m:r>
                  <m:rPr>
                    <m:sty m:val="p"/>
                  </m:rPr>
                  <m:t>+</m:t>
                </m:r>
                <m:sSub>
                  <m:e>
                    <m:r>
                      <m:t>β</m:t>
                    </m:r>
                  </m:e>
                  <m:sub>
                    <m:r>
                      <m:t>1</m:t>
                    </m:r>
                  </m:sub>
                </m:sSub>
                <m:r>
                  <m:t>E</m:t>
                </m:r>
                <m:r>
                  <m:t>S</m:t>
                </m:r>
                <m:sSub>
                  <m:e>
                    <m:r>
                      <m:t>G</m:t>
                    </m:r>
                  </m:e>
                  <m:sub>
                    <m:r>
                      <m:t>i</m:t>
                    </m:r>
                    <m:r>
                      <m:rPr>
                        <m:sty m:val="p"/>
                      </m:rPr>
                      <m:t>,</m:t>
                    </m:r>
                    <m:r>
                      <m:t>t</m:t>
                    </m:r>
                    <m:r>
                      <m:rPr>
                        <m:sty m:val="p"/>
                      </m:rPr>
                      <m:t>−</m:t>
                    </m:r>
                    <m:r>
                      <m:t>1</m:t>
                    </m:r>
                  </m:sub>
                </m:sSub>
                <m:r>
                  <m:rPr>
                    <m:sty m:val="p"/>
                  </m:rPr>
                  <m:t>+</m:t>
                </m:r>
                <m:sSub>
                  <m:e>
                    <m:r>
                      <m:t>β</m:t>
                    </m:r>
                  </m:e>
                  <m:sub>
                    <m:r>
                      <m:t>2</m:t>
                    </m:r>
                  </m:sub>
                </m:sSub>
                <m:r>
                  <m:t>N</m:t>
                </m:r>
                <m:r>
                  <m:t>P</m:t>
                </m:r>
                <m:sSub>
                  <m:e>
                    <m:r>
                      <m:t>L</m:t>
                    </m:r>
                  </m:e>
                  <m:sub>
                    <m:r>
                      <m:t>i</m:t>
                    </m:r>
                    <m:r>
                      <m:rPr>
                        <m:sty m:val="p"/>
                      </m:rPr>
                      <m:t>,</m:t>
                    </m:r>
                    <m:r>
                      <m:t>t</m:t>
                    </m:r>
                    <m:r>
                      <m:rPr>
                        <m:sty m:val="p"/>
                      </m:rPr>
                      <m:t>−</m:t>
                    </m:r>
                    <m:r>
                      <m:t>1</m:t>
                    </m:r>
                  </m:sub>
                </m:sSub>
                <m:r>
                  <m:rPr>
                    <m:sty m:val="p"/>
                  </m:rPr>
                  <m:t>+</m:t>
                </m:r>
                <m:sSub>
                  <m:e>
                    <m:r>
                      <m:t>β</m:t>
                    </m:r>
                  </m:e>
                  <m:sub>
                    <m:r>
                      <m:t>3</m:t>
                    </m:r>
                  </m:sub>
                </m:sSub>
                <m:r>
                  <m:t>L</m:t>
                </m:r>
                <m:r>
                  <m:t>O</m:t>
                </m:r>
                <m:r>
                  <m:t>A</m:t>
                </m:r>
                <m:sSub>
                  <m:e>
                    <m:r>
                      <m:t>N</m:t>
                    </m:r>
                  </m:e>
                  <m:sub>
                    <m:r>
                      <m:t>i</m:t>
                    </m:r>
                    <m:r>
                      <m:rPr>
                        <m:sty m:val="p"/>
                      </m:rPr>
                      <m:t>,</m:t>
                    </m:r>
                    <m:r>
                      <m:t>t</m:t>
                    </m:r>
                    <m:r>
                      <m:rPr>
                        <m:sty m:val="p"/>
                      </m:rPr>
                      <m:t>−</m:t>
                    </m:r>
                    <m:r>
                      <m:t>1</m:t>
                    </m:r>
                  </m:sub>
                </m:sSub>
                <m:r>
                  <m:rPr>
                    <m:sty m:val="p"/>
                  </m:rPr>
                  <m:t>+</m:t>
                </m:r>
                <m:sSub>
                  <m:e>
                    <m:r>
                      <m:t>β</m:t>
                    </m:r>
                  </m:e>
                  <m:sub>
                    <m:r>
                      <m:t>4</m:t>
                    </m:r>
                  </m:sub>
                </m:sSub>
                <m:r>
                  <m:t>A</m:t>
                </m:r>
                <m:r>
                  <m:t>L</m:t>
                </m:r>
                <m:sSub>
                  <m:e>
                    <m:r>
                      <m:t>W</m:t>
                    </m:r>
                  </m:e>
                  <m:sub>
                    <m:r>
                      <m:t>i</m:t>
                    </m:r>
                    <m:r>
                      <m:rPr>
                        <m:sty m:val="p"/>
                      </m:rPr>
                      <m:t>,</m:t>
                    </m:r>
                    <m:r>
                      <m:t>t</m:t>
                    </m:r>
                    <m:r>
                      <m:rPr>
                        <m:sty m:val="p"/>
                      </m:rPr>
                      <m:t>−</m:t>
                    </m:r>
                    <m:r>
                      <m:t>1</m:t>
                    </m:r>
                  </m:sub>
                </m:sSub>
              </m:e>
            </m:mr>
            <m:mr>
              <m:e>
                <m:r>
                  <m:rPr>
                    <m:sty m:val="p"/>
                  </m:rPr>
                  <m:t>+</m:t>
                </m:r>
                <m:sSub>
                  <m:e>
                    <m:r>
                      <m:t>β</m:t>
                    </m:r>
                  </m:e>
                  <m:sub>
                    <m:r>
                      <m:t>5</m:t>
                    </m:r>
                  </m:sub>
                </m:sSub>
                <m:r>
                  <m:t>Δ</m:t>
                </m:r>
                <m:r>
                  <m:t>L</m:t>
                </m:r>
                <m:r>
                  <m:t>O</m:t>
                </m:r>
                <m:r>
                  <m:t>A</m:t>
                </m:r>
                <m:sSub>
                  <m:e>
                    <m:r>
                      <m:t>N</m:t>
                    </m:r>
                  </m:e>
                  <m:sub>
                    <m:r>
                      <m:t>i</m:t>
                    </m:r>
                    <m:r>
                      <m:rPr>
                        <m:sty m:val="p"/>
                      </m:rPr>
                      <m:t>,</m:t>
                    </m:r>
                    <m:r>
                      <m:t>t</m:t>
                    </m:r>
                  </m:sub>
                </m:sSub>
                <m:r>
                  <m:rPr>
                    <m:sty m:val="p"/>
                  </m:rPr>
                  <m:t>+</m:t>
                </m:r>
                <m:sSub>
                  <m:e>
                    <m:r>
                      <m:t>β</m:t>
                    </m:r>
                  </m:e>
                  <m:sub>
                    <m:r>
                      <m:t>6</m:t>
                    </m:r>
                  </m:sub>
                </m:sSub>
                <m:r>
                  <m:t>R</m:t>
                </m:r>
                <m:r>
                  <m:t>O</m:t>
                </m:r>
                <m:sSub>
                  <m:e>
                    <m:r>
                      <m:t>A</m:t>
                    </m:r>
                  </m:e>
                  <m:sub>
                    <m:r>
                      <m:t>i</m:t>
                    </m:r>
                    <m:r>
                      <m:rPr>
                        <m:sty m:val="p"/>
                      </m:rPr>
                      <m:t>,</m:t>
                    </m:r>
                    <m:r>
                      <m:t>t</m:t>
                    </m:r>
                  </m:sub>
                </m:sSub>
                <m:r>
                  <m:rPr>
                    <m:sty m:val="p"/>
                  </m:rPr>
                  <m:t>+</m:t>
                </m:r>
                <m:sSub>
                  <m:e>
                    <m:r>
                      <m:t>β</m:t>
                    </m:r>
                  </m:e>
                  <m:sub>
                    <m:r>
                      <m:t>7</m:t>
                    </m:r>
                  </m:sub>
                </m:sSub>
                <m:r>
                  <m:t>C</m:t>
                </m:r>
                <m:r>
                  <m:t>A</m:t>
                </m:r>
                <m:r>
                  <m:t>P</m:t>
                </m:r>
                <m:r>
                  <m:t>R</m:t>
                </m:r>
                <m:sSub>
                  <m:e>
                    <m:r>
                      <m:t>1</m:t>
                    </m:r>
                  </m:e>
                  <m:sub>
                    <m:r>
                      <m:t>i</m:t>
                    </m:r>
                    <m:r>
                      <m:rPr>
                        <m:sty m:val="p"/>
                      </m:rPr>
                      <m:t>,</m:t>
                    </m:r>
                    <m:r>
                      <m:t>t</m:t>
                    </m:r>
                  </m:sub>
                </m:sSub>
              </m:e>
            </m:mr>
            <m:mr>
              <m:e>
                <m:r>
                  <m:rPr>
                    <m:sty m:val="p"/>
                  </m:rPr>
                  <m:t>+</m:t>
                </m:r>
                <m:sSub>
                  <m:e>
                    <m:r>
                      <m:t>β</m:t>
                    </m:r>
                  </m:e>
                  <m:sub>
                    <m:r>
                      <m:t>8</m:t>
                    </m:r>
                  </m:sub>
                </m:sSub>
                <m:r>
                  <m:t>G</m:t>
                </m:r>
                <m:r>
                  <m:t>D</m:t>
                </m:r>
                <m:sSub>
                  <m:e>
                    <m:r>
                      <m:t>P</m:t>
                    </m:r>
                  </m:e>
                  <m:sub>
                    <m:r>
                      <m:t>t</m:t>
                    </m:r>
                  </m:sub>
                </m:sSub>
                <m:r>
                  <m:rPr>
                    <m:sty m:val="p"/>
                  </m:rPr>
                  <m:t>+</m:t>
                </m:r>
                <m:sSub>
                  <m:e>
                    <m:r>
                      <m:t>β</m:t>
                    </m:r>
                  </m:e>
                  <m:sub>
                    <m:r>
                      <m:t>9</m:t>
                    </m:r>
                  </m:sub>
                </m:sSub>
                <m:r>
                  <m:t>U</m:t>
                </m:r>
                <m:r>
                  <m:t>N</m:t>
                </m:r>
                <m:r>
                  <m:t>P</m:t>
                </m:r>
                <m:sSub>
                  <m:e>
                    <m:r>
                      <m:t>L</m:t>
                    </m:r>
                  </m:e>
                  <m:sub>
                    <m:r>
                      <m:t>t</m:t>
                    </m:r>
                  </m:sub>
                </m:sSub>
                <m:r>
                  <m:rPr>
                    <m:sty m:val="p"/>
                  </m:rPr>
                  <m:t>+</m:t>
                </m:r>
                <m:sSub>
                  <m:e>
                    <m:r>
                      <m:t>β</m:t>
                    </m:r>
                  </m:e>
                  <m:sub>
                    <m:r>
                      <m:t>10</m:t>
                    </m:r>
                  </m:sub>
                </m:sSub>
                <m:r>
                  <m:t>I</m:t>
                </m:r>
                <m:r>
                  <m:t>N</m:t>
                </m:r>
                <m:r>
                  <m:t>F</m:t>
                </m:r>
                <m:sSub>
                  <m:e>
                    <m:r>
                      <m:t>L</m:t>
                    </m:r>
                  </m:e>
                  <m:sub>
                    <m:r>
                      <m:t>t</m:t>
                    </m:r>
                  </m:sub>
                </m:sSub>
                <m:r>
                  <m:rPr>
                    <m:sty m:val="p"/>
                  </m:rPr>
                  <m:t>+</m:t>
                </m:r>
                <m:sSub>
                  <m:e>
                    <m:r>
                      <m:t>ϵ</m:t>
                    </m:r>
                  </m:e>
                  <m:sub>
                    <m:r>
                      <m:t>i</m:t>
                    </m:r>
                    <m:r>
                      <m:rPr>
                        <m:sty m:val="p"/>
                      </m:rPr>
                      <m:t>,</m:t>
                    </m:r>
                    <m:r>
                      <m:t>t</m:t>
                    </m:r>
                  </m:sub>
                </m:sSub>
              </m:e>
            </m:mr>
          </m:m>
          <m:r>
            <m:t>  </m:t>
          </m:r>
          <m:d>
            <m:dPr>
              <m:begChr m:val="("/>
              <m:endChr m:val=")"/>
              <m:sepChr m:val=""/>
              <m:grow/>
            </m:dPr>
            <m:e>
              <m:r>
                <m:t>2</m:t>
              </m:r>
            </m:e>
          </m:d>
        </m:oMath>
      </m:oMathPara>
      <w:bookmarkEnd w:id="46"/>
    </w:p>
    <w:p>
      <w:pPr>
        <w:pStyle w:val="FirstParagraph"/>
      </w:pPr>
      <w:r>
        <w:t xml:space="preserve">In this initial model, we include all variables and follow the assumption about time-structure of impact on non-performing loans ratio as presented above. This model is a starting point. Next step is verifying statistical relevance of included variables and possibly reducing the model to capture only those relationships that have meaningful impact on non-performing loans ratio. Therefore, we will explore several regressions pooling all data in the dataset. This leads to the reduced form model</w:t>
      </w:r>
    </w:p>
    <w:p>
      <w:pPr>
        <w:pStyle w:val="Tekstpodstawowy"/>
      </w:pPr>
      <w:bookmarkStart w:id="47" w:name="eq-reduced-model"/>
      <m:oMathPara>
        <m:oMathParaPr>
          <m:jc m:val="center"/>
        </m:oMathParaPr>
        <m:oMath>
          <m:r>
            <m:t>N</m:t>
          </m:r>
          <m:r>
            <m:t>P</m:t>
          </m:r>
          <m:sSub>
            <m:e>
              <m:r>
                <m:t>L</m:t>
              </m:r>
            </m:e>
            <m:sub>
              <m:r>
                <m:t>i</m:t>
              </m:r>
              <m:r>
                <m:rPr>
                  <m:sty m:val="p"/>
                </m:rPr>
                <m:t>,</m:t>
              </m:r>
              <m:r>
                <m:t>t</m:t>
              </m:r>
            </m:sub>
          </m:sSub>
          <m:r>
            <m:rPr>
              <m:sty m:val="p"/>
            </m:rPr>
            <m:t>=</m:t>
          </m:r>
          <m:sSub>
            <m:e>
              <m:r>
                <m:t>β</m:t>
              </m:r>
            </m:e>
            <m:sub>
              <m:r>
                <m:t>0</m:t>
              </m:r>
            </m:sub>
          </m:sSub>
          <m:r>
            <m:rPr>
              <m:sty m:val="p"/>
            </m:rPr>
            <m:t>+</m:t>
          </m:r>
          <m:sSub>
            <m:e>
              <m:r>
                <m:t>β</m:t>
              </m:r>
            </m:e>
            <m:sub>
              <m:r>
                <m:t>1</m:t>
              </m:r>
            </m:sub>
          </m:sSub>
          <m:r>
            <m:t>E</m:t>
          </m:r>
          <m:r>
            <m:t>S</m:t>
          </m:r>
          <m:sSub>
            <m:e>
              <m:r>
                <m:t>G</m:t>
              </m:r>
            </m:e>
            <m:sub>
              <m:r>
                <m:t>i</m:t>
              </m:r>
              <m:r>
                <m:rPr>
                  <m:sty m:val="p"/>
                </m:rPr>
                <m:t>,</m:t>
              </m:r>
              <m:r>
                <m:t>t</m:t>
              </m:r>
              <m:r>
                <m:rPr>
                  <m:sty m:val="p"/>
                </m:rPr>
                <m:t>−</m:t>
              </m:r>
              <m:r>
                <m:t>1</m:t>
              </m:r>
            </m:sub>
          </m:sSub>
          <m:r>
            <m:rPr>
              <m:sty m:val="p"/>
            </m:rPr>
            <m:t>+</m:t>
          </m:r>
          <m:sSub>
            <m:e>
              <m:r>
                <m:t>β</m:t>
              </m:r>
            </m:e>
            <m:sub>
              <m:r>
                <m:t>2</m:t>
              </m:r>
            </m:sub>
          </m:sSub>
          <m:r>
            <m:t>N</m:t>
          </m:r>
          <m:r>
            <m:t>P</m:t>
          </m:r>
          <m:sSub>
            <m:e>
              <m:r>
                <m:t>L</m:t>
              </m:r>
            </m:e>
            <m:sub>
              <m:r>
                <m:t>i</m:t>
              </m:r>
              <m:r>
                <m:rPr>
                  <m:sty m:val="p"/>
                </m:rPr>
                <m:t>,</m:t>
              </m:r>
              <m:r>
                <m:t>t</m:t>
              </m:r>
              <m:r>
                <m:rPr>
                  <m:sty m:val="p"/>
                </m:rPr>
                <m:t>−</m:t>
              </m:r>
              <m:r>
                <m:t>1</m:t>
              </m:r>
            </m:sub>
          </m:sSub>
          <m:r>
            <m:rPr>
              <m:sty m:val="p"/>
            </m:rPr>
            <m:t>+</m:t>
          </m:r>
          <m:sSub>
            <m:e>
              <m:r>
                <m:t>β</m:t>
              </m:r>
            </m:e>
            <m:sub>
              <m:r>
                <m:t>3</m:t>
              </m:r>
            </m:sub>
          </m:sSub>
          <m:r>
            <m:t>L</m:t>
          </m:r>
          <m:r>
            <m:t>O</m:t>
          </m:r>
          <m:r>
            <m:t>A</m:t>
          </m:r>
          <m:sSub>
            <m:e>
              <m:r>
                <m:t>N</m:t>
              </m:r>
            </m:e>
            <m:sub>
              <m:r>
                <m:t>i</m:t>
              </m:r>
              <m:r>
                <m:rPr>
                  <m:sty m:val="p"/>
                </m:rPr>
                <m:t>,</m:t>
              </m:r>
              <m:r>
                <m:t>t</m:t>
              </m:r>
              <m:r>
                <m:rPr>
                  <m:sty m:val="p"/>
                </m:rPr>
                <m:t>−</m:t>
              </m:r>
              <m:r>
                <m:t>1</m:t>
              </m:r>
            </m:sub>
          </m:sSub>
          <m:r>
            <m:rPr>
              <m:sty m:val="p"/>
            </m:rPr>
            <m:t>+</m:t>
          </m:r>
          <m:sSub>
            <m:e>
              <m:r>
                <m:t>β</m:t>
              </m:r>
            </m:e>
            <m:sub>
              <m:r>
                <m:t>4</m:t>
              </m:r>
            </m:sub>
          </m:sSub>
          <m:r>
            <m:t>A</m:t>
          </m:r>
          <m:r>
            <m:t>L</m:t>
          </m:r>
          <m:sSub>
            <m:e>
              <m:r>
                <m:t>W</m:t>
              </m:r>
            </m:e>
            <m:sub>
              <m:r>
                <m:t>i</m:t>
              </m:r>
              <m:r>
                <m:rPr>
                  <m:sty m:val="p"/>
                </m:rPr>
                <m:t>,</m:t>
              </m:r>
              <m:r>
                <m:t>t</m:t>
              </m:r>
              <m:r>
                <m:rPr>
                  <m:sty m:val="p"/>
                </m:rPr>
                <m:t>−</m:t>
              </m:r>
              <m:r>
                <m:t>1</m:t>
              </m:r>
            </m:sub>
          </m:sSub>
          <m:r>
            <m:rPr>
              <m:sty m:val="p"/>
            </m:rPr>
            <m:t>+</m:t>
          </m:r>
          <m:sSub>
            <m:e>
              <m:r>
                <m:t>ϵ</m:t>
              </m:r>
            </m:e>
            <m:sub>
              <m:r>
                <m:t>i</m:t>
              </m:r>
              <m:r>
                <m:rPr>
                  <m:sty m:val="p"/>
                </m:rPr>
                <m:t>,</m:t>
              </m:r>
              <m:r>
                <m:t>t</m:t>
              </m:r>
            </m:sub>
          </m:sSub>
          <m:r>
            <m:t>  </m:t>
          </m:r>
          <m:d>
            <m:dPr>
              <m:begChr m:val="("/>
              <m:endChr m:val=")"/>
              <m:sepChr m:val=""/>
              <m:grow/>
            </m:dPr>
            <m:e>
              <m:r>
                <m:t>3</m:t>
              </m:r>
            </m:e>
          </m:d>
        </m:oMath>
      </m:oMathPara>
      <w:bookmarkEnd w:id="47"/>
    </w:p>
    <w:p>
      <w:pPr>
        <w:pStyle w:val="FirstParagraph"/>
      </w:pPr>
      <w:r>
        <w:t xml:space="preserve">for which we will investigate relevance of panel structure of the dataset. In particular, we will estimate random effects and fixed effects models and test their relevance.</w:t>
      </w:r>
    </w:p>
    <w:p>
      <w:pPr>
        <w:pStyle w:val="Tekstpodstawowy"/>
      </w:pPr>
      <w:r>
        <w:t xml:space="preserve">As we previously stated, ESG scores are supposed to measure the quality of economic, social, and governance activities. Regulations introducing such reporting into the regulatory framework, such as Sustainable Finance Disclosure Regulation (SFDR) and Corporate Sustainability Reporting Directive (CSRD), do not provide specific measures that need to be applied. Therefore, one can assume that there may be substantial differences in calculations of ESG scores as presented in</w:t>
      </w:r>
      <w:r>
        <w:t xml:space="preserve"> </w:t>
      </w:r>
      <w:hyperlink w:anchor="tbl-esg-regression">
        <w:r>
          <w:rPr>
            <w:rStyle w:val="Hipercze"/>
          </w:rPr>
          <w:t xml:space="preserve">Table 5</w:t>
        </w:r>
      </w:hyperlink>
      <w:r>
        <w:t xml:space="preserve">. The correlation between Refinitiv’s ESG score (</w:t>
      </w:r>
      <m:oMath>
        <m:r>
          <m:t>E</m:t>
        </m:r>
        <m:r>
          <m:t>S</m:t>
        </m:r>
        <m:r>
          <m:t>G</m:t>
        </m:r>
      </m:oMath>
      <w:r>
        <w:t xml:space="preserve">) and Blooomberg’s ESG score</w:t>
      </w:r>
      <w:r>
        <w:t xml:space="preserve"> </w:t>
      </w:r>
      <m:oMath>
        <m:r>
          <m:t>B</m:t>
        </m:r>
        <m:r>
          <m:t>E</m:t>
        </m:r>
        <m:r>
          <m:t>S</m:t>
        </m:r>
        <m:r>
          <m:t>G</m:t>
        </m:r>
      </m:oMath>
      <w:r>
        <w:t xml:space="preserve"> </w:t>
      </w:r>
      <w:r>
        <w:t xml:space="preserve">is surprisingly small, given those two variables are supposed to measure the same phenomenon. The simplest way of resolving this issue is to use 2SLS and estimate model with instrumental variable for</w:t>
      </w:r>
      <w:r>
        <w:t xml:space="preserve"> </w:t>
      </w:r>
      <m:oMath>
        <m:r>
          <m:t>E</m:t>
        </m:r>
        <m:r>
          <m:t>S</m:t>
        </m:r>
        <m:sSub>
          <m:e>
            <m:r>
              <m:t>G</m:t>
            </m:r>
          </m:e>
          <m:sub>
            <m:r>
              <m:t>i</m:t>
            </m:r>
            <m:r>
              <m:rPr>
                <m:sty m:val="p"/>
              </m:rPr>
              <m:t>,</m:t>
            </m:r>
            <m:r>
              <m:t>t</m:t>
            </m:r>
            <m:r>
              <m:rPr>
                <m:sty m:val="p"/>
              </m:rPr>
              <m:t>−</m:t>
            </m:r>
            <m:r>
              <m:t>1</m:t>
            </m:r>
          </m:sub>
        </m:sSub>
      </m:oMath>
      <w:r>
        <w:t xml:space="preserve">. We follow the approach adopted by</w:t>
      </w:r>
      <w:r>
        <w:t xml:space="preserve"> </w:t>
      </w:r>
      <w:r>
        <w:t xml:space="preserve">Liu et al. (2023)</w:t>
      </w:r>
      <w:r>
        <w:t xml:space="preserve">.</w:t>
      </w:r>
    </w:p>
    <w:p>
      <w:pPr>
        <w:pStyle w:val="Tekstpodstawowy"/>
      </w:pPr>
      <w:r>
        <w:t xml:space="preserve">Final step is investigating impact of foreign stakeholders on importance of ESG in activities of commercial banks in Poland. This problem can be addressed in two ways – either estimating separate regressions for banks controlled by local and foreign stakeholders or by introducing dummy variable for banks controlled by foreign stakeholders. In the first case, we allow for variation of coefficients between two groups while in the second case, value of coefficient for the dummy variable measures difference between non-performing loans ratio between two groups.</w:t>
      </w:r>
    </w:p>
    <w:bookmarkEnd w:id="48"/>
    <w:bookmarkStart w:id="69" w:name="results-and-discussion"/>
    <w:p>
      <w:pPr>
        <w:pStyle w:val="Nagwek1"/>
      </w:pPr>
      <w:r>
        <w:t xml:space="preserve">Results and discussion</w:t>
      </w:r>
    </w:p>
    <w:p>
      <w:pPr>
        <w:pStyle w:val="FirstParagraph"/>
      </w:pPr>
      <w:r>
        <w:t xml:space="preserve">Our starting point is the model stated in (</w:t>
      </w:r>
      <w:hyperlink w:anchor="eq-pooling-model">
        <w:r>
          <w:rPr>
            <w:rStyle w:val="Hipercze"/>
          </w:rPr>
          <w:t xml:space="preserve">2</w:t>
        </w:r>
      </w:hyperlink>
      <w:r>
        <w:t xml:space="preserve">). Only a few variables in pooling regression for a wide set of data demonstrate statistical significance. Therefore, we may want to explore restricting the set of variables to increase statistical significance of obtained estimates. The summary of those estimations is provided in</w:t>
      </w:r>
      <w:r>
        <w:t xml:space="preserve"> </w:t>
      </w:r>
      <w:hyperlink w:anchor="tbl-pooling-regressions">
        <w:r>
          <w:rPr>
            <w:rStyle w:val="Hipercze"/>
          </w:rPr>
          <w:t xml:space="preserve">Table 6</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9" w:name="tbl-pooling-regressions"/>
          <w:p>
            <w:pPr>
              <w:jc w:val="center"/>
            </w:pPr>
            <w:pPr>
              <w:jc w:val="start"/>
              <w:spacing w:before="200"/>
              <w:pStyle w:val="ImageCaption"/>
            </w:pPr>
            <w:r>
              <w:t xml:space="preserve">Table 6: Pooling regressions results.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166"/>
              <w:gridCol w:w="1080"/>
              <w:gridCol w:w="1080"/>
              <w:gridCol w:w="1080"/>
              <w:gridCol w:w="1080"/>
              <w:gridCol w:w="1080"/>
              <w:gridCol w:w="1080"/>
              <w:gridCol w:w="1080"/>
            </w:tblGrid>
            <w:tr>
              <w:trPr>
                <w:trHeight w:val="5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w:t>
                  </w:r>
                </w:p>
              </w:tc>
            </w:tr>
            <w:tr>
              <w:trPr>
                <w:trHeight w:val="561"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0.016</w:t>
                  </w:r>
                </w:p>
              </w:tc>
            </w:tr>
            <w:tr>
              <w:trPr>
                <w:trHeight w:val="5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(0.022)</w:t>
                  </w:r>
                </w:p>
              </w:tc>
            </w:tr>
            <w:tr>
              <w:trPr>
                <w:trHeight w:val="564"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lag(ESG)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-0.047*</w:t>
                  </w:r>
                </w:p>
              </w:tc>
            </w:tr>
            <w:tr>
              <w:trPr>
                <w:trHeight w:val="5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(0.021)</w:t>
                  </w:r>
                </w:p>
              </w:tc>
            </w:tr>
            <w:tr>
              <w:trPr>
                <w:trHeight w:val="563"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lag(NPL)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0.242*</w:t>
                  </w:r>
                </w:p>
              </w:tc>
            </w:tr>
            <w:tr>
              <w:trPr>
                <w:trHeight w:val="5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(0.121)</w:t>
                  </w:r>
                </w:p>
              </w:tc>
            </w:tr>
            <w:tr>
              <w:trPr>
                <w:trHeight w:val="564"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lag(LOAN)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0.045*</w:t>
                  </w:r>
                </w:p>
              </w:tc>
            </w:tr>
            <w:tr>
              <w:trPr>
                <w:trHeight w:val="5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(0.020)</w:t>
                  </w:r>
                </w:p>
              </w:tc>
            </w:tr>
            <w:tr>
              <w:trPr>
                <w:trHeight w:val="563"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lag(ALW)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-0.491**</w:t>
                  </w:r>
                </w:p>
              </w:tc>
            </w:tr>
            <w:tr>
              <w:trPr>
                <w:trHeight w:val="5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(0.179)</w:t>
                  </w:r>
                </w:p>
              </w:tc>
            </w:tr>
            <w:tr>
              <w:trPr>
                <w:trHeight w:val="532"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ΔLOAN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32"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ROA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32"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CAPR1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32"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GDP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28"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UNPL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26"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INFL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32"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r>
            <w:tr>
              <w:trPr>
                <w:trHeight w:val="526"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0.540</w:t>
                  </w:r>
                </w:p>
              </w:tc>
            </w:tr>
            <w:tr>
              <w:trPr>
                <w:trHeight w:val="5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0.513</w:t>
                  </w:r>
                </w:p>
              </w:tc>
            </w:tr>
            <w:tr>
              <w:trPr>
                <w:trHeight w:val="532"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-329.7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-337.3</w:t>
                  </w:r>
                </w:p>
              </w:tc>
            </w:tr>
            <w:tr>
              <w:trPr>
                <w:trHeight w:val="532"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-313.8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-317.7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-321.3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-323.6</w:t>
                  </w:r>
                </w:p>
              </w:tc>
            </w:tr>
            <w:tr>
              <w:trPr>
                <w:trHeight w:val="532" w:hRule="auto"/>
              </w:trPr>
              body28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r>
            <w:tr>
              <w:trPr>
                <w:trHeight w:val="360" w:hRule="auto"/>
              </w:trPr>
              footer 1
              <w:tc>
                <w:tcPr>
                  <w:gridSpan w:val="8"/>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p &lt; 0.1, * p &lt; 0.05, ** p &lt; 0.01, *** p &lt; 0.001</w:t>
                  </w:r>
                </w:p>
              </w:tc>
            </w:tr>
          </w:tbl>
          <w:bookmarkEnd w:id="49"/>
        </w:tc>
      </w:tr>
    </w:tbl>
    <w:p>
      <w:pPr>
        <w:pStyle w:val="Tekstpodstawowy"/>
      </w:pPr>
      <w:r>
        <w:t xml:space="preserve">Clearly, dropping several variables had a very limited effect on</w:t>
      </w:r>
      <w:r>
        <w:t xml:space="preserve"> </w:t>
      </w:r>
      <m:oMath>
        <m:sSup>
          <m:e>
            <m:r>
              <m:t>R</m:t>
            </m:r>
          </m:e>
          <m:sup>
            <m:r>
              <m:t>2</m:t>
            </m:r>
          </m:sup>
        </m:sSup>
      </m:oMath>
      <w:r>
        <w:t xml:space="preserve">. We can think about is as lack of significance in explaining changes of</w:t>
      </w:r>
      <w:r>
        <w:t xml:space="preserve"> </w:t>
      </w:r>
      <m:oMath>
        <m:r>
          <m:t>N</m:t>
        </m:r>
        <m:r>
          <m:t>P</m:t>
        </m:r>
        <m:r>
          <m:t>L</m:t>
        </m:r>
      </m:oMath>
      <w:r>
        <w:t xml:space="preserve"> </w:t>
      </w:r>
      <w:r>
        <w:t xml:space="preserve">over time and across banks. That justifies settling for the reduced form model stated in formula (</w:t>
      </w:r>
      <w:hyperlink w:anchor="eq-reduced-model">
        <w:r>
          <w:rPr>
            <w:rStyle w:val="Hipercze"/>
          </w:rPr>
          <w:t xml:space="preserve">3</w:t>
        </w:r>
      </w:hyperlink>
      <w:r>
        <w:t xml:space="preserve">). All variables in the reduced form model are statistically significant. Observe also, that in all estimated pooling regression models coefficients for</w:t>
      </w:r>
      <w:r>
        <w:t xml:space="preserve"> </w:t>
      </w:r>
      <m:oMath>
        <m:r>
          <m:t>E</m:t>
        </m:r>
        <m:r>
          <m:t>S</m:t>
        </m:r>
        <m:r>
          <m:t>G</m:t>
        </m:r>
      </m:oMath>
      <w:r>
        <w:t xml:space="preserve"> </w:t>
      </w:r>
      <w:r>
        <w:t xml:space="preserve">are negative. That is, higher ESG score reduces non-performing loans ratio.</w:t>
      </w:r>
    </w:p>
    <w:p>
      <w:pPr>
        <w:pStyle w:val="Tekstpodstawowy"/>
      </w:pPr>
      <w:r>
        <w:t xml:space="preserve">Dataset has panel structure. Therefore, a natural next step is to explore whether fixed or random effects model could provide better insight into the relationship between non-performing loans ratio and other variables. In this case, we will focus on the reduced form model (</w:t>
      </w:r>
      <w:hyperlink w:anchor="eq-reduced-model">
        <w:r>
          <w:rPr>
            <w:rStyle w:val="Hipercze"/>
          </w:rPr>
          <w:t xml:space="preserve">3</w:t>
        </w:r>
      </w:hyperlink>
      <w:r>
        <w:t xml:space="preserve">).</w:t>
      </w:r>
    </w:p>
    <w:p>
      <w:pPr>
        <w:pStyle w:val="Tekstpodstawowy"/>
      </w:pPr>
      <w:r>
        <w:t xml:space="preserve">Random effects model requires transformation of variables in the estimation process. Amemiya method</w:t>
      </w:r>
      <w:r>
        <w:t xml:space="preserve"> </w:t>
      </w:r>
      <w:r>
        <w:rPr>
          <w:b/>
          <w:bCs/>
        </w:rPr>
        <w:t xml:space="preserve">(source)</w:t>
      </w:r>
      <w:r>
        <w:t xml:space="preserve"> </w:t>
      </w:r>
      <w:r>
        <w:t xml:space="preserve">is time-consuming and requires estimation of several GMM models. Nevertheless, we use as it is efficient.</w:t>
      </w:r>
    </w:p>
    <w:tbl>
      <w:tblPr>
        <w:tblStyle w:val="Table"/>
        <w:tblW w:type="pct" w:w="5000"/>
        <w:tblLayout w:type="fixed"/>
        <w:tblLook w:firstRow="0" w:lastRow="0" w:firstColumn="0" w:lastColumn="0" w:noHBand="0" w:noVBand="0" w:val="0000"/>
      </w:tblPr>
      <w:tblGrid>
        <w:gridCol w:w="7920"/>
      </w:tblGrid>
      <w:tr>
        <w:tc>
          <w:tcPr/>
          <w:bookmarkStart w:id="50" w:name="tbl-fixed-and-random-models"/>
          <w:p>
            <w:pPr>
              <w:jc w:val="center"/>
            </w:pPr>
            <w:pPr>
              <w:jc w:val="start"/>
              <w:spacing w:before="200"/>
              <w:pStyle w:val="ImageCaption"/>
            </w:pPr>
            <w:r>
              <w:t xml:space="preserve">Table 7: Regression results for random and fixed effects models.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368"/>
              <w:gridCol w:w="1368"/>
              <w:gridCol w:w="1368"/>
              <w:gridCol w:w="1368"/>
              <w:gridCol w:w="1368"/>
              <w:gridCol w:w="1368"/>
              <w:gridCol w:w="1368"/>
            </w:tblGrid>
            <w:tr>
              <w:trPr>
                <w:trHeight w:val="561"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Pooling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Pooling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Fixed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Fixed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Random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Random </w:t>
                  </w:r>
                </w:p>
              </w:tc>
            </w:tr>
            <w:tr>
              <w:trPr>
                <w:trHeight w:val="561"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0.013</w:t>
                  </w:r>
                </w:p>
              </w:tc>
            </w:tr>
            <w:tr>
              <w:trPr>
                <w:trHeight w:val="5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(0.028)</w:t>
                  </w:r>
                </w:p>
              </w:tc>
            </w:tr>
            <w:tr>
              <w:trPr>
                <w:trHeight w:val="564"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lag(ESG)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-0.040+</w:t>
                  </w:r>
                </w:p>
              </w:tc>
            </w:tr>
            <w:tr>
              <w:trPr>
                <w:trHeight w:val="5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(0.022)</w:t>
                  </w:r>
                </w:p>
              </w:tc>
            </w:tr>
            <w:tr>
              <w:trPr>
                <w:trHeight w:val="563"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lag(NPL)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0.179</w:t>
                  </w:r>
                </w:p>
              </w:tc>
            </w:tr>
            <w:tr>
              <w:trPr>
                <w:trHeight w:val="5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(0.121)</w:t>
                  </w:r>
                </w:p>
              </w:tc>
            </w:tr>
            <w:tr>
              <w:trPr>
                <w:trHeight w:val="564"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lag(LOAN)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0.053*</w:t>
                  </w:r>
                </w:p>
              </w:tc>
            </w:tr>
            <w:tr>
              <w:trPr>
                <w:trHeight w:val="5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(0.026)</w:t>
                  </w:r>
                </w:p>
              </w:tc>
            </w:tr>
            <w:tr>
              <w:trPr>
                <w:trHeight w:val="563"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lag(ALW)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-0.423+</w:t>
                  </w:r>
                </w:p>
              </w:tc>
            </w:tr>
            <w:tr>
              <w:trPr>
                <w:trHeight w:val="5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(0.213)</w:t>
                  </w:r>
                </w:p>
              </w:tc>
            </w:tr>
            <w:tr>
              <w:trPr>
                <w:trHeight w:val="532"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ΔLOAN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32"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ROA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32"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CAPR1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32"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GDP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28"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UNPL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26"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INFL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32"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r>
            <w:tr>
              <w:trPr>
                <w:trHeight w:val="526"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0.343</w:t>
                  </w:r>
                </w:p>
              </w:tc>
            </w:tr>
            <w:tr>
              <w:trPr>
                <w:trHeight w:val="5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0.304</w:t>
                  </w:r>
                </w:p>
              </w:tc>
            </w:tr>
            <w:tr>
              <w:trPr>
                <w:trHeight w:val="532"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-329.7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-343.7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-349.8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-342.5</w:t>
                  </w:r>
                </w:p>
              </w:tc>
            </w:tr>
            <w:tr>
              <w:trPr>
                <w:trHeight w:val="532"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-323.6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-318.6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-309.4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-328.8</w:t>
                  </w:r>
                </w:p>
              </w:tc>
            </w:tr>
            <w:tr>
              <w:trPr>
                <w:trHeight w:val="532" w:hRule="auto"/>
              </w:trPr>
              body28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r>
            <w:tr>
              <w:trPr>
                <w:trHeight w:val="360" w:hRule="auto"/>
              </w:trPr>
              footer 1
              <w:tc>
                <w:tcPr>
                  <w:gridSpan w:val="7"/>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p &lt; 0.1, * p &lt; 0.05, ** p &lt; 0.01, *** p &lt; 0.001</w:t>
                  </w:r>
                </w:p>
              </w:tc>
            </w:tr>
          </w:tbl>
          <w:bookmarkEnd w:id="50"/>
        </w:tc>
      </w:tr>
    </w:tbl>
    <w:p>
      <w:pPr>
        <w:pStyle w:val="Tekstpodstawowy"/>
      </w:pPr>
      <w:r>
        <w:t xml:space="preserve">The key takeaway from results presented in</w:t>
      </w:r>
      <w:r>
        <w:t xml:space="preserve"> </w:t>
      </w:r>
      <w:hyperlink w:anchor="tbl-pooling-regressions">
        <w:r>
          <w:rPr>
            <w:rStyle w:val="Hipercze"/>
          </w:rPr>
          <w:t xml:space="preserve">Table 6</w:t>
        </w:r>
      </w:hyperlink>
      <w:r>
        <w:t xml:space="preserve"> </w:t>
      </w:r>
      <w:r>
        <w:t xml:space="preserve">and</w:t>
      </w:r>
      <w:r>
        <w:t xml:space="preserve"> </w:t>
      </w:r>
      <w:hyperlink w:anchor="tbl-fixed-and-random-models">
        <w:r>
          <w:rPr>
            <w:rStyle w:val="Hipercze"/>
          </w:rPr>
          <w:t xml:space="preserve">Table 7</w:t>
        </w:r>
      </w:hyperlink>
      <w:r>
        <w:t xml:space="preserve"> </w:t>
      </w:r>
      <w:r>
        <w:t xml:space="preserve">is consistently negative sign of</w:t>
      </w:r>
      <w:r>
        <w:t xml:space="preserve"> </w:t>
      </w:r>
      <m:oMath>
        <m:r>
          <m:t>E</m:t>
        </m:r>
        <m:r>
          <m:t>S</m:t>
        </m:r>
        <m:sSub>
          <m:e>
            <m:r>
              <m:t>G</m:t>
            </m:r>
          </m:e>
          <m:sub>
            <m:r>
              <m:t>i</m:t>
            </m:r>
            <m:r>
              <m:rPr>
                <m:sty m:val="p"/>
              </m:rPr>
              <m:t>,</m:t>
            </m:r>
            <m:r>
              <m:t>t</m:t>
            </m:r>
            <m:r>
              <m:rPr>
                <m:sty m:val="p"/>
              </m:rPr>
              <m:t>−</m:t>
            </m:r>
            <m:r>
              <m:t>1</m:t>
            </m:r>
          </m:sub>
        </m:sSub>
      </m:oMath>
      <w:r>
        <w:t xml:space="preserve"> </w:t>
      </w:r>
      <w:r>
        <w:t xml:space="preserve">coefficient, that is</w:t>
      </w:r>
      <w:r>
        <w:t xml:space="preserve"> </w:t>
      </w:r>
      <m:oMath>
        <m:r>
          <m:t>l</m:t>
        </m:r>
        <m:r>
          <m:t>a</m:t>
        </m:r>
        <m:r>
          <m:t>g</m:t>
        </m:r>
        <m:d>
          <m:dPr>
            <m:begChr m:val="("/>
            <m:endChr m:val=")"/>
            <m:sepChr m:val=""/>
            <m:grow/>
          </m:dPr>
          <m:e>
            <m:r>
              <m:t>E</m:t>
            </m:r>
            <m:r>
              <m:t>S</m:t>
            </m:r>
            <m:r>
              <m:t>G</m:t>
            </m:r>
          </m:e>
        </m:d>
      </m:oMath>
      <w:r>
        <w:t xml:space="preserve">. We have no basis for rejecting hypothesis</w:t>
      </w:r>
      <w:r>
        <w:t xml:space="preserve"> </w:t>
      </w:r>
      <m:oMath>
        <m:r>
          <m:t>H</m:t>
        </m:r>
        <m:r>
          <m:t>1</m:t>
        </m:r>
      </m:oMath>
      <w:r>
        <w:t xml:space="preserve">. To further support it, we can consider 2SLS estimation with various instruments for</w:t>
      </w:r>
      <w:r>
        <w:t xml:space="preserve"> </w:t>
      </w:r>
      <m:oMath>
        <m:r>
          <m:t>E</m:t>
        </m:r>
        <m:r>
          <m:t>S</m:t>
        </m:r>
        <m:r>
          <m:t>G</m:t>
        </m:r>
      </m:oMath>
      <w:r>
        <w:t xml:space="preserve">.</w:t>
      </w:r>
    </w:p>
    <w:bookmarkStart w:id="57" w:name="instrumental-variables-and-2sls"/>
    <w:p>
      <w:pPr>
        <w:pStyle w:val="Nagwek2"/>
      </w:pPr>
      <w:r>
        <w:t xml:space="preserve">Instrumental variables and 2SLS</w:t>
      </w:r>
    </w:p>
    <w:p>
      <w:pPr>
        <w:pStyle w:val="FirstParagraph"/>
      </w:pPr>
      <w:r>
        <w:t xml:space="preserve">In this section, we extend analysis using instrumental variables for</w:t>
      </w:r>
      <w:r>
        <w:t xml:space="preserve"> </w:t>
      </w:r>
      <m:oMath>
        <m:r>
          <m:t>E</m:t>
        </m:r>
        <m:r>
          <m:t>S</m:t>
        </m:r>
        <m:sSub>
          <m:e>
            <m:r>
              <m:t>G</m:t>
            </m:r>
          </m:e>
          <m:sub>
            <m:r>
              <m:t>i</m:t>
            </m:r>
            <m:r>
              <m:rPr>
                <m:sty m:val="p"/>
              </m:rPr>
              <m:t>,</m:t>
            </m:r>
            <m:r>
              <m:t>t</m:t>
            </m:r>
            <m:r>
              <m:rPr>
                <m:sty m:val="p"/>
              </m:rPr>
              <m:t>−</m:t>
            </m:r>
            <m:r>
              <m:t>1</m:t>
            </m:r>
          </m:sub>
        </m:sSub>
      </m:oMath>
      <w:r>
        <w:t xml:space="preserve"> </w:t>
      </w:r>
      <w:r>
        <w:t xml:space="preserve">and 2SLS estimation.</w:t>
      </w:r>
      <w:r>
        <w:t xml:space="preserve"> </w:t>
      </w:r>
      <w:r>
        <w:t xml:space="preserve">Liu et al. (2023)</w:t>
      </w:r>
      <w:r>
        <w:t xml:space="preserve"> </w:t>
      </w:r>
      <w:r>
        <w:t xml:space="preserve">in their research decided to use</w:t>
      </w:r>
      <w:r>
        <w:t xml:space="preserve"> </w:t>
      </w:r>
      <m:oMath>
        <m:r>
          <m:t>E</m:t>
        </m:r>
        <m:r>
          <m:t>S</m:t>
        </m:r>
        <m:sSub>
          <m:e>
            <m:r>
              <m:t>G</m:t>
            </m:r>
          </m:e>
          <m:sub>
            <m:r>
              <m:t>i</m:t>
            </m:r>
            <m:r>
              <m:rPr>
                <m:sty m:val="p"/>
              </m:rPr>
              <m:t>,</m:t>
            </m:r>
            <m:r>
              <m:t>t</m:t>
            </m:r>
            <m:r>
              <m:rPr>
                <m:sty m:val="p"/>
              </m:rPr>
              <m:t>−</m:t>
            </m:r>
            <m:r>
              <m:t>2</m:t>
            </m:r>
          </m:sub>
        </m:sSub>
      </m:oMath>
      <w:r>
        <w:t xml:space="preserve"> </w:t>
      </w:r>
      <w:r>
        <w:t xml:space="preserve">as the instrument. In</w:t>
      </w:r>
      <w:r>
        <w:t xml:space="preserve"> </w:t>
      </w:r>
      <w:hyperlink w:anchor="tbl-esg-regression">
        <w:r>
          <w:rPr>
            <w:rStyle w:val="Hipercze"/>
          </w:rPr>
          <w:t xml:space="preserve">Table 5</w:t>
        </w:r>
      </w:hyperlink>
      <w:r>
        <w:t xml:space="preserve">, we demonstrated that the social component is the most relevant part of the ESG score. That will the second instrument we want to consider. Finally, we also use Bloomberg ESG score as instrument. In all three cases, we have to be sware of limitations of those instruments. We attempt to measure very complex changes in the way companies operate with a single measure. Moreover, this measure is standarized with the scoring process.</w:t>
      </w:r>
    </w:p>
    <w:tbl>
      <w:tblPr>
        <w:tblStyle w:val="Table"/>
        <w:tblW w:type="pct" w:w="5000"/>
        <w:tblLayout w:type="fixed"/>
        <w:tblLook w:firstRow="0" w:lastRow="0" w:firstColumn="0" w:lastColumn="0" w:noHBand="0" w:noVBand="0" w:val="0000"/>
      </w:tblPr>
      <w:tblGrid>
        <w:gridCol w:w="7920"/>
      </w:tblGrid>
      <w:tr>
        <w:tc>
          <w:tcPr/>
          <w:bookmarkStart w:id="51" w:name="tbl-iv-regressions"/>
          <w:p>
            <w:pPr>
              <w:jc w:val="center"/>
            </w:pPr>
            <w:pPr>
              <w:jc w:val="start"/>
              <w:spacing w:before="200"/>
              <w:pStyle w:val="ImageCaption"/>
            </w:pPr>
            <w:r>
              <w:t xml:space="preserve">Table 8: Comparison of 2SLS instrumental variable regressions and pooling regression.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166"/>
              <w:gridCol w:w="1080"/>
              <w:gridCol w:w="1389"/>
              <w:gridCol w:w="1504"/>
              <w:gridCol w:w="1175"/>
            </w:tblGrid>
            <w:tr>
              <w:trPr>
                <w:trHeight w:val="564"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Pooling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lag(lag(ESG))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lag(ESG_SOC)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lag(BESG)</w:t>
                  </w:r>
                </w:p>
              </w:tc>
            </w:tr>
            <w:tr>
              <w:trPr>
                <w:trHeight w:val="561"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0.061</w:t>
                  </w:r>
                </w:p>
              </w:tc>
            </w:tr>
            <w:tr>
              <w:trPr>
                <w:trHeight w:val="5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(0.054)</w:t>
                  </w:r>
                </w:p>
              </w:tc>
            </w:tr>
            <w:tr>
              <w:trPr>
                <w:trHeight w:val="564"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lag(ESG)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-0.107+</w:t>
                  </w:r>
                </w:p>
              </w:tc>
            </w:tr>
            <w:tr>
              <w:trPr>
                <w:trHeight w:val="5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(0.063)</w:t>
                  </w:r>
                </w:p>
              </w:tc>
            </w:tr>
            <w:tr>
              <w:trPr>
                <w:trHeight w:val="563"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lag(NPL)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0.077</w:t>
                  </w:r>
                </w:p>
              </w:tc>
            </w:tr>
            <w:tr>
              <w:trPr>
                <w:trHeight w:val="5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(0.180)</w:t>
                  </w:r>
                </w:p>
              </w:tc>
            </w:tr>
            <w:tr>
              <w:trPr>
                <w:trHeight w:val="564"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lag(LOAN)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0.042+</w:t>
                  </w:r>
                </w:p>
              </w:tc>
            </w:tr>
            <w:tr>
              <w:trPr>
                <w:trHeight w:val="5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(0.024)</w:t>
                  </w:r>
                </w:p>
              </w:tc>
            </w:tr>
            <w:tr>
              <w:trPr>
                <w:trHeight w:val="563"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lag(ALW)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-0.532*</w:t>
                  </w:r>
                </w:p>
              </w:tc>
            </w:tr>
            <w:tr>
              <w:trPr>
                <w:trHeight w:val="5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(0.201)</w:t>
                  </w:r>
                </w:p>
              </w:tc>
            </w:tr>
            <w:tr>
              <w:trPr>
                <w:trHeight w:val="532"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64</w:t>
                  </w:r>
                </w:p>
              </w:tc>
            </w:tr>
            <w:tr>
              <w:trPr>
                <w:trHeight w:val="526"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0.490</w:t>
                  </w:r>
                </w:p>
              </w:tc>
            </w:tr>
            <w:tr>
              <w:trPr>
                <w:trHeight w:val="5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0.455</w:t>
                  </w:r>
                </w:p>
              </w:tc>
            </w:tr>
            <w:tr>
              <w:trPr>
                <w:trHeight w:val="532"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-289.2</w:t>
                  </w:r>
                </w:p>
              </w:tc>
            </w:tr>
            <w:tr>
              <w:trPr>
                <w:trHeight w:val="532"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-323.6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-323.6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-322.6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-276.3</w:t>
                  </w:r>
                </w:p>
              </w:tc>
            </w:tr>
            <w:tr>
              <w:trPr>
                <w:trHeight w:val="532"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r>
            <w:tr>
              <w:trPr>
                <w:trHeight w:val="360" w:hRule="auto"/>
              </w:trPr>
              footer 1
              <w:tc>
                <w:tcPr>
                  <w:gridSpan w:val="5"/>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p &lt; 0.1, * p &lt; 0.05, ** p &lt; 0.01, *** p &lt; 0.001</w:t>
                  </w:r>
                </w:p>
              </w:tc>
            </w:tr>
          </w:tbl>
          <w:bookmarkEnd w:id="51"/>
        </w:tc>
      </w:tr>
    </w:tbl>
    <w:tbl>
      <w:tblPr>
        <w:tblStyle w:val="Table"/>
        <w:tblW w:type="pct" w:w="5000"/>
        <w:tblLayout w:type="fixed"/>
        <w:tblLook w:firstRow="0" w:lastRow="0" w:firstColumn="0" w:lastColumn="0" w:noHBand="0" w:noVBand="0" w:val="0000"/>
      </w:tblPr>
      <w:tblGrid>
        <w:gridCol w:w="7920"/>
      </w:tblGrid>
      <w:tr>
        <w:tc>
          <w:tcPr/>
          <w:bookmarkStart w:id="56" w:name="fig-iv-models-plot"/>
          <w:p>
            <w:pPr>
              <w:jc w:val="center"/>
            </w:pPr>
            <w:pPr>
              <w:jc w:val="start"/>
              <w:spacing w:before="200"/>
              <w:pStyle w:val="ImageCaption"/>
            </w:pPr>
            <w:r>
              <w:t xml:space="preserve">Figure 4: Graphical summary of IV models.</w:t>
            </w:r>
          </w:p>
          <w:p>
            <w:pPr>
              <w:pStyle w:val="Compact"/>
              <w:jc w:val="center"/>
            </w:pPr>
            <w:r>
              <w:drawing>
                <wp:inline>
                  <wp:extent cx="4775200" cy="3410857"/>
                  <wp:effectExtent b="0" l="0" r="0" t="0"/>
                  <wp:docPr descr="" title="" id="53" name="Picture"/>
                  <a:graphic>
                    <a:graphicData uri="http://schemas.openxmlformats.org/drawingml/2006/picture">
                      <pic:pic>
                        <pic:nvPicPr>
                          <pic:cNvPr descr="ESG_in_banks_v2_files/figure-docx/fig-iv-models-plot-1.svg" id="54" name="Picture"/>
                          <pic:cNvPicPr>
                            <a:picLocks noChangeArrowheads="1" noChangeAspect="1"/>
                          </pic:cNvPicPr>
                        </pic:nvPicPr>
                        <pic:blipFill>
                          <a:blip r:embed="rId55">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bwMode="auto">
                          <a:xfrm>
                            <a:off x="0" y="0"/>
                            <a:ext cx="4775200" cy="3410857"/>
                          </a:xfrm>
                          <a:prstGeom prst="rect">
                            <a:avLst/>
                          </a:prstGeom>
                          <a:noFill/>
                          <a:ln w="9525">
                            <a:noFill/>
                            <a:headEnd/>
                            <a:tailEnd/>
                          </a:ln>
                        </pic:spPr>
                      </pic:pic>
                    </a:graphicData>
                  </a:graphic>
                </wp:inline>
              </w:drawing>
            </w:r>
          </w:p>
          <w:bookmarkEnd w:id="56"/>
        </w:tc>
      </w:tr>
    </w:tbl>
    <w:p>
      <w:pPr>
        <w:pStyle w:val="Tekstpodstawowy"/>
      </w:pPr>
      <w:r>
        <w:t xml:space="preserve">Plotted confidence intervals for parameter estimates demonstrate that, all three approaches to the estimation provide quite similar results. What is more important, again estimates for</w:t>
      </w:r>
      <w:r>
        <w:t xml:space="preserve"> </w:t>
      </w:r>
      <m:oMath>
        <m:r>
          <m:t>E</m:t>
        </m:r>
        <m:r>
          <m:t>S</m:t>
        </m:r>
        <m:sSub>
          <m:e>
            <m:r>
              <m:t>G</m:t>
            </m:r>
          </m:e>
          <m:sub>
            <m:r>
              <m:t>i</m:t>
            </m:r>
            <m:r>
              <m:rPr>
                <m:sty m:val="p"/>
              </m:rPr>
              <m:t>,</m:t>
            </m:r>
            <m:r>
              <m:t>t</m:t>
            </m:r>
            <m:r>
              <m:rPr>
                <m:sty m:val="p"/>
              </m:rPr>
              <m:t>−</m:t>
            </m:r>
            <m:r>
              <m:t>1</m:t>
            </m:r>
          </m:sub>
        </m:sSub>
      </m:oMath>
      <w:r>
        <w:t xml:space="preserve"> </w:t>
      </w:r>
      <w:r>
        <w:t xml:space="preserve">remain negative. Only in case of Bloomber ESG score used as the instrument for ESG, 95% confidence interval presented in</w:t>
      </w:r>
      <w:r>
        <w:t xml:space="preserve"> </w:t>
      </w:r>
      <w:hyperlink w:anchor="fig-iv-models-plot">
        <w:r>
          <w:rPr>
            <w:rStyle w:val="Hipercze"/>
          </w:rPr>
          <w:t xml:space="preserve">Figure 4</w:t>
        </w:r>
      </w:hyperlink>
      <w:r>
        <w:t xml:space="preserve">, includes positive numbers.</w:t>
      </w:r>
    </w:p>
    <w:bookmarkEnd w:id="57"/>
    <w:bookmarkStart w:id="59" w:name="components-of-esg-score"/>
    <w:p>
      <w:pPr>
        <w:pStyle w:val="Nagwek2"/>
      </w:pPr>
      <w:r>
        <w:t xml:space="preserve">Components of ESG score</w:t>
      </w:r>
    </w:p>
    <w:p>
      <w:pPr>
        <w:pStyle w:val="FirstParagraph"/>
      </w:pPr>
      <w:r>
        <w:t xml:space="preserve">Our second hypothesis is related to impact of components of ESG score – environmental, social, and governance. Note that regressions presented in</w:t>
      </w:r>
      <w:r>
        <w:t xml:space="preserve"> </w:t>
      </w:r>
      <w:hyperlink w:anchor="tbl-esg-regression">
        <w:r>
          <w:rPr>
            <w:rStyle w:val="Hipercze"/>
          </w:rPr>
          <w:t xml:space="preserve">Table 5</w:t>
        </w:r>
      </w:hyperlink>
      <w:r>
        <w:t xml:space="preserve"> </w:t>
      </w:r>
      <w:r>
        <w:t xml:space="preserve">demonstrates that all statistically relevant coefficients for components of ESG are positive. That leads us to regressing non-performing loans ratio against individual ESG components. Results are presented in</w:t>
      </w:r>
      <w:r>
        <w:t xml:space="preserve"> </w:t>
      </w:r>
      <w:hyperlink w:anchor="tbl-individual-esg-factors">
        <w:r>
          <w:rPr>
            <w:rStyle w:val="Hipercze"/>
          </w:rPr>
          <w:t xml:space="preserve">Table 9</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58" w:name="tbl-individual-esg-factors"/>
          <w:p>
            <w:pPr>
              <w:jc w:val="center"/>
            </w:pPr>
            <w:pPr>
              <w:jc w:val="start"/>
              <w:spacing w:before="200"/>
              <w:pStyle w:val="ImageCaption"/>
            </w:pPr>
            <w:r>
              <w:t xml:space="preserve">Table 9: Pooling regressions including component ESG factors.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513"/>
              <w:gridCol w:w="1080"/>
              <w:gridCol w:w="1309"/>
              <w:gridCol w:w="1080"/>
              <w:gridCol w:w="1282"/>
            </w:tblGrid>
            <w:tr>
              <w:trPr>
                <w:trHeight w:val="532"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Environment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Social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Governance</w:t>
                  </w:r>
                </w:p>
              </w:tc>
            </w:tr>
            <w:tr>
              <w:trPr>
                <w:trHeight w:val="561"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-0.020</w:t>
                  </w:r>
                </w:p>
              </w:tc>
            </w:tr>
            <w:tr>
              <w:trPr>
                <w:trHeight w:val="5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(0.018)</w:t>
                  </w:r>
                </w:p>
              </w:tc>
            </w:tr>
            <w:tr>
              <w:trPr>
                <w:trHeight w:val="564"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lag(ESG)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3"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lag(NPL)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0.340**</w:t>
                  </w:r>
                </w:p>
              </w:tc>
            </w:tr>
            <w:tr>
              <w:trPr>
                <w:trHeight w:val="5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(0.118)</w:t>
                  </w:r>
                </w:p>
              </w:tc>
            </w:tr>
            <w:tr>
              <w:trPr>
                <w:trHeight w:val="564"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lag(LOAN)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0.051*</w:t>
                  </w:r>
                </w:p>
              </w:tc>
            </w:tr>
            <w:tr>
              <w:trPr>
                <w:trHeight w:val="5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(0.021)</w:t>
                  </w:r>
                </w:p>
              </w:tc>
            </w:tr>
            <w:tr>
              <w:trPr>
                <w:trHeight w:val="563"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lag(ALW)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-0.516**</w:t>
                  </w:r>
                </w:p>
              </w:tc>
            </w:tr>
            <w:tr>
              <w:trPr>
                <w:trHeight w:val="5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(0.186)</w:t>
                  </w:r>
                </w:p>
              </w:tc>
            </w:tr>
            <w:tr>
              <w:trPr>
                <w:trHeight w:val="564"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lag(ESG_ENV)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4"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lag(ESG_SOC)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4"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lag(ESG_GOV)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-0.003</w:t>
                  </w:r>
                </w:p>
              </w:tc>
            </w:tr>
            <w:tr>
              <w:trPr>
                <w:trHeight w:val="5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(0.014)</w:t>
                  </w:r>
                </w:p>
              </w:tc>
            </w:tr>
            <w:tr>
              <w:trPr>
                <w:trHeight w:val="532"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r>
            <w:tr>
              <w:trPr>
                <w:trHeight w:val="526"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0.505</w:t>
                  </w:r>
                </w:p>
              </w:tc>
            </w:tr>
            <w:tr>
              <w:trPr>
                <w:trHeight w:val="560"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0.476</w:t>
                  </w:r>
                </w:p>
              </w:tc>
            </w:tr>
            <w:tr>
              <w:trPr>
                <w:trHeight w:val="532"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-332.0</w:t>
                  </w:r>
                </w:p>
              </w:tc>
            </w:tr>
            <w:tr>
              <w:trPr>
                <w:trHeight w:val="532"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-323.6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-319.7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-326.2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-318.4</w:t>
                  </w:r>
                </w:p>
              </w:tc>
            </w:tr>
            <w:tr>
              <w:trPr>
                <w:trHeight w:val="532" w:hRule="auto"/>
              </w:trPr>
              body22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r>
            <w:tr>
              <w:trPr>
                <w:trHeight w:val="360" w:hRule="auto"/>
              </w:trPr>
              footer 1
              <w:tc>
                <w:tcPr>
                  <w:gridSpan w:val="5"/>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p &lt; 0.1, * p &lt; 0.05, ** p &lt; 0.01, *** p &lt; 0.001</w:t>
                  </w:r>
                </w:p>
              </w:tc>
            </w:tr>
          </w:tbl>
          <w:bookmarkEnd w:id="58"/>
        </w:tc>
      </w:tr>
    </w:tbl>
    <w:p>
      <w:pPr>
        <w:pStyle w:val="Tekstpodstawowy"/>
      </w:pPr>
      <w:r>
        <w:t xml:space="preserve">All coefficienst of reduced form model remain statistically significant. Moreover, all estimates for individual ESG factor are also negativa, but not statistically significant in all cases. We have no basis to reject hypothesis</w:t>
      </w:r>
      <w:r>
        <w:t xml:space="preserve"> </w:t>
      </w:r>
      <w:r>
        <w:rPr>
          <w:b/>
          <w:bCs/>
        </w:rPr>
        <w:t xml:space="preserve">H2</w:t>
      </w:r>
      <w:r>
        <w:t xml:space="preserve">. Statistical significance of social component of ESG is in line of estimation of relationship beteen ESG and its components.</w:t>
      </w:r>
    </w:p>
    <w:bookmarkEnd w:id="59"/>
    <w:bookmarkStart w:id="68" w:name="Xae6e631df8b4e32d41bcbd803c9bb818feeda5c"/>
    <w:p>
      <w:pPr>
        <w:pStyle w:val="Nagwek2"/>
      </w:pPr>
      <w:r>
        <w:t xml:space="preserve">Splitting the set of banks – local vs foreign stakeholders</w:t>
      </w:r>
    </w:p>
    <w:p>
      <w:pPr>
        <w:pStyle w:val="FirstParagraph"/>
      </w:pPr>
      <w:r>
        <w:t xml:space="preserve">In this section, we want to run an experiment and split the set of banks into two subsets. One subset will consist of banks controlled by polish stakeholders and the other group will consist of banks controlled by foreign stakeholders. The first group is ALRR.WA, PEO.WA, and PKO.WA. Note that those banks were not controlled by local stakeholder in all periods in the sample. All other banks belong to the second group.</w:t>
      </w:r>
    </w:p>
    <w:p>
      <w:pPr>
        <w:pStyle w:val="Tekstpodstawowy"/>
      </w:pPr>
      <w:r>
        <w:t xml:space="preserve">First, we run regression on ESG indicators data.</w:t>
      </w:r>
    </w:p>
    <w:tbl>
      <w:tblPr>
        <w:tblStyle w:val="Table"/>
        <w:tblW w:type="pct" w:w="5000"/>
        <w:tblLayout w:type="fixed"/>
        <w:tblLook w:firstRow="0" w:lastRow="0" w:firstColumn="0" w:lastColumn="0" w:noHBand="0" w:noVBand="0" w:val="0000"/>
      </w:tblPr>
      <w:tblGrid>
        <w:gridCol w:w="7920"/>
      </w:tblGrid>
      <w:tr>
        <w:tc>
          <w:tcPr/>
          <w:bookmarkStart w:id="60" w:name="tbl-local-frgn-regression-esg"/>
          <w:p>
            <w:pPr>
              <w:jc w:val="center"/>
            </w:pPr>
            <w:pPr>
              <w:jc w:val="start"/>
              <w:spacing w:before="200"/>
              <w:pStyle w:val="ImageCaption"/>
            </w:pPr>
            <w:r>
              <w:t xml:space="preserve">Table 10: Regression results for ESG split between banks controlled by local and foreign stakeholders.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193"/>
              <w:gridCol w:w="1080"/>
              <w:gridCol w:w="1080"/>
            </w:tblGrid>
            <w:tr>
              <w:trPr>
                <w:trHeight w:val="561"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Local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Foreign</w:t>
                  </w:r>
                </w:p>
              </w:tc>
            </w:tr>
            <w:tr>
              <w:trPr>
                <w:trHeight w:val="561"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-0.033***</w:t>
                  </w:r>
                </w:p>
              </w:tc>
            </w:tr>
            <w:tr>
              <w:trPr>
                <w:trHeight w:val="5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(0.006)</w:t>
                  </w:r>
                </w:p>
              </w:tc>
            </w:tr>
            <w:tr>
              <w:trPr>
                <w:trHeight w:val="549"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ESG_ENV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0.148***</w:t>
                  </w:r>
                </w:p>
              </w:tc>
            </w:tr>
            <w:tr>
              <w:trPr>
                <w:trHeight w:val="5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(0.007)</w:t>
                  </w:r>
                </w:p>
              </w:tc>
            </w:tr>
            <w:tr>
              <w:trPr>
                <w:trHeight w:val="549"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ESG_SOC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0.547***</w:t>
                  </w:r>
                </w:p>
              </w:tc>
            </w:tr>
            <w:tr>
              <w:trPr>
                <w:trHeight w:val="5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(0.009)</w:t>
                  </w:r>
                </w:p>
              </w:tc>
            </w:tr>
            <w:tr>
              <w:trPr>
                <w:trHeight w:val="549"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ESG_GOV</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0.344***</w:t>
                  </w:r>
                </w:p>
              </w:tc>
            </w:tr>
            <w:tr>
              <w:trPr>
                <w:trHeight w:val="5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(0.007)</w:t>
                  </w:r>
                </w:p>
              </w:tc>
            </w:tr>
            <w:tr>
              <w:trPr>
                <w:trHeight w:val="532"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61</w:t>
                  </w:r>
                </w:p>
              </w:tc>
            </w:tr>
            <w:tr>
              <w:trPr>
                <w:trHeight w:val="526"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0.997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0.996</w:t>
                  </w:r>
                </w:p>
              </w:tc>
            </w:tr>
            <w:tr>
              <w:trPr>
                <w:trHeight w:val="5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0.996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0.995</w:t>
                  </w:r>
                </w:p>
              </w:tc>
            </w:tr>
            <w:tr>
              <w:trPr>
                <w:trHeight w:val="532"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-174.3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-371.3</w:t>
                  </w:r>
                </w:p>
              </w:tc>
            </w:tr>
            <w:tr>
              <w:trPr>
                <w:trHeight w:val="532"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-167.9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-360.7</w:t>
                  </w:r>
                </w:p>
              </w:tc>
            </w:tr>
            <w:tr>
              <w:trPr>
                <w:trHeight w:val="561"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Log.Lik.</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92.165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190.644</w:t>
                  </w:r>
                </w:p>
              </w:tc>
            </w:tr>
            <w:tr>
              <w:trPr>
                <w:trHeight w:val="526"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2453.189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4297.629</w:t>
                  </w:r>
                </w:p>
              </w:tc>
            </w:tr>
            <w:tr>
              <w:trPr>
                <w:trHeight w:val="532"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w:t>
                  </w:r>
                </w:p>
              </w:tc>
            </w:tr>
            <w:tr>
              <w:trPr>
                <w:trHeight w:val="360" w:hRule="auto"/>
              </w:trPr>
              footer 1
              <w:tc>
                <w:tcPr>
                  <w:gridSpan w:val="3"/>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p &lt; 0.1, * p &lt; 0.05, ** p &lt; 0.01, *** p &lt; 0.001</w:t>
                  </w:r>
                </w:p>
              </w:tc>
            </w:tr>
          </w:tbl>
          <w:bookmarkEnd w:id="60"/>
        </w:tc>
      </w:tr>
    </w:tbl>
    <w:p>
      <w:pPr>
        <w:pStyle w:val="Tekstpodstawowy"/>
      </w:pPr>
      <w:r>
        <w:t xml:space="preserve">Components of ESG behave similarly in both groups, and therefore we can believe that the relationship has the same properties in both groups. Then we repeat the exercise with pooling regression on data for banks with polish stakeholders and foreign stakeholders.</w:t>
      </w:r>
    </w:p>
    <w:tbl>
      <w:tblPr>
        <w:tblStyle w:val="Table"/>
        <w:tblW w:type="pct" w:w="5000"/>
        <w:tblLayout w:type="fixed"/>
        <w:tblLook w:firstRow="0" w:lastRow="0" w:firstColumn="0" w:lastColumn="0" w:noHBand="0" w:noVBand="0" w:val="0000"/>
      </w:tblPr>
      <w:tblGrid>
        <w:gridCol w:w="7920"/>
      </w:tblGrid>
      <w:tr>
        <w:tc>
          <w:tcPr/>
          <w:bookmarkStart w:id="61" w:name="tbl-pl-frgn-iv"/>
          <w:p>
            <w:pPr>
              <w:jc w:val="center"/>
            </w:pPr>
            <w:pPr>
              <w:jc w:val="start"/>
              <w:spacing w:before="200"/>
              <w:pStyle w:val="ImageCaption"/>
            </w:pPr>
            <w:r>
              <w:t xml:space="preserve">Table 11: Pooling regressions split by stakeholders.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166"/>
              <w:gridCol w:w="1080"/>
              <w:gridCol w:w="1080"/>
              <w:gridCol w:w="1080"/>
              <w:gridCol w:w="1080"/>
              <w:gridCol w:w="1080"/>
            </w:tblGrid>
            <w:tr>
              <w:trPr>
                <w:trHeight w:val="561"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All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Local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Local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Foreign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Foreign </w:t>
                  </w:r>
                </w:p>
              </w:tc>
            </w:tr>
            <w:tr>
              <w:trPr>
                <w:trHeight w:val="561"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0.045+</w:t>
                  </w:r>
                </w:p>
              </w:tc>
            </w:tr>
            <w:tr>
              <w:trPr>
                <w:trHeight w:val="5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(0.026)</w:t>
                  </w:r>
                </w:p>
              </w:tc>
            </w:tr>
            <w:tr>
              <w:trPr>
                <w:trHeight w:val="564"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lag(ESG)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-0.029</w:t>
                  </w:r>
                </w:p>
              </w:tc>
            </w:tr>
            <w:tr>
              <w:trPr>
                <w:trHeight w:val="5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(0.024)</w:t>
                  </w:r>
                </w:p>
              </w:tc>
            </w:tr>
            <w:tr>
              <w:trPr>
                <w:trHeight w:val="563"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lag(NPL)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0.053</w:t>
                  </w:r>
                </w:p>
              </w:tc>
            </w:tr>
            <w:tr>
              <w:trPr>
                <w:trHeight w:val="5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(0.154)</w:t>
                  </w:r>
                </w:p>
              </w:tc>
            </w:tr>
            <w:tr>
              <w:trPr>
                <w:trHeight w:val="564"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lag(LOAN)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0.021</w:t>
                  </w:r>
                </w:p>
              </w:tc>
            </w:tr>
            <w:tr>
              <w:trPr>
                <w:trHeight w:val="5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(0.023)</w:t>
                  </w:r>
                </w:p>
              </w:tc>
            </w:tr>
            <w:tr>
              <w:trPr>
                <w:trHeight w:val="563"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lag(ALW)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-0.753**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-0.125</w:t>
                  </w:r>
                </w:p>
              </w:tc>
            </w:tr>
            <w:tr>
              <w:trPr>
                <w:trHeight w:val="5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(0.324)</w:t>
                  </w:r>
                </w:p>
              </w:tc>
            </w:tr>
            <w:tr>
              <w:trPr>
                <w:trHeight w:val="532"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ΔLOAN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32"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ROA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32"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CAPR1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32"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GDP</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body18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29" w:hRule="auto"/>
              </w:trPr>
              body19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UNPL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-0.820*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body20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26" w:hRule="auto"/>
              </w:trPr>
              body21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INFL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60" w:hRule="auto"/>
              </w:trPr>
              body22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r>
            <w:tr>
              <w:trPr>
                <w:trHeight w:val="532" w:hRule="auto"/>
              </w:trPr>
              body23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47</w:t>
                  </w:r>
                </w:p>
              </w:tc>
            </w:tr>
            <w:tr>
              <w:trPr>
                <w:trHeight w:val="526" w:hRule="auto"/>
              </w:trPr>
              body24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0.928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0.855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0.074</w:t>
                  </w:r>
                </w:p>
              </w:tc>
            </w:tr>
            <w:tr>
              <w:trPr>
                <w:trHeight w:val="560" w:hRule="auto"/>
              </w:trPr>
              body25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0.497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0.872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0.825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-0.014</w:t>
                  </w:r>
                </w:p>
              </w:tc>
            </w:tr>
            <w:tr>
              <w:trPr>
                <w:trHeight w:val="532" w:hRule="auto"/>
              </w:trPr>
              body26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-329.7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-128.1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-207.1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-216.0</w:t>
                  </w:r>
                </w:p>
              </w:tc>
            </w:tr>
            <w:tr>
              <w:trPr>
                <w:trHeight w:val="532" w:hRule="auto"/>
              </w:trPr>
              body27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-116.4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-184.9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-204.9</w:t>
                  </w:r>
                </w:p>
              </w:tc>
            </w:tr>
            <w:tr>
              <w:trPr>
                <w:trHeight w:val="532" w:hRule="auto"/>
              </w:trPr>
              body28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r>
            <w:tr>
              <w:trPr>
                <w:trHeight w:val="360" w:hRule="auto"/>
              </w:trPr>
              footer 1
              <w:tc>
                <w:tcPr>
                  <w:gridSpan w:val="6"/>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p &lt; 0.1, * p &lt; 0.05, ** p &lt; 0.01, *** p &lt; 0.001</w:t>
                  </w:r>
                </w:p>
              </w:tc>
            </w:tr>
          </w:tbl>
          <w:bookmarkEnd w:id="61"/>
        </w:tc>
      </w:tr>
    </w:tbl>
    <w:p>
      <w:pPr>
        <w:pStyle w:val="Tekstpodstawowy"/>
      </w:pPr>
      <w:r>
        <w:t xml:space="preserve">Again, estimates for</w:t>
      </w:r>
      <w:r>
        <w:t xml:space="preserve"> </w:t>
      </w:r>
      <m:oMath>
        <m:r>
          <m:t>E</m:t>
        </m:r>
        <m:r>
          <m:t>S</m:t>
        </m:r>
        <m:r>
          <m:t>G</m:t>
        </m:r>
        <m:sSub>
          <m:e>
            <m:r>
              <m:rPr>
                <m:sty m:val="p"/>
              </m:rPr>
              <m:t>|</m:t>
            </m:r>
          </m:e>
          <m:sub>
            <m:r>
              <m:t>i</m:t>
            </m:r>
            <m:r>
              <m:rPr>
                <m:sty m:val="p"/>
              </m:rPr>
              <m:t>,</m:t>
            </m:r>
            <m:r>
              <m:t>t</m:t>
            </m:r>
            <m:r>
              <m:rPr>
                <m:sty m:val="p"/>
              </m:rPr>
              <m:t>−</m:t>
            </m:r>
            <m:r>
              <m:t>1</m:t>
            </m:r>
          </m:sub>
        </m:sSub>
      </m:oMath>
      <w:r>
        <w:t xml:space="preserve"> </w:t>
      </w:r>
      <w:r>
        <w:t xml:space="preserve">remain negative. Graphical representation of confidence intervals for those estimates is presented in</w:t>
      </w:r>
      <w:r>
        <w:t xml:space="preserve"> </w:t>
      </w:r>
      <w:hyperlink w:anchor="fig-local-frgn-models-plot">
        <w:r>
          <w:rPr>
            <w:rStyle w:val="Hipercze"/>
          </w:rPr>
          <w:t xml:space="preserve">Figure 5</w:t>
        </w:r>
      </w:hyperlink>
      <w:r>
        <w:t xml:space="preserve">. It further confirms our inability to falsify hypothesis</w:t>
      </w:r>
      <w:r>
        <w:t xml:space="preserve"> </w:t>
      </w:r>
      <w:r>
        <w:rPr>
          <w:b/>
          <w:bCs/>
        </w:rPr>
        <w:t xml:space="preserve">H1</w:t>
      </w:r>
      <w:r>
        <w:t xml:space="preserve">. Interestingly,</w:t>
      </w:r>
      <w:r>
        <w:t xml:space="preserve"> </w:t>
      </w:r>
      <m:oMath>
        <m:sSup>
          <m:e>
            <m:r>
              <m:t>R</m:t>
            </m:r>
          </m:e>
          <m:sup>
            <m:r>
              <m:t>2</m:t>
            </m:r>
          </m:sup>
        </m:sSup>
      </m:oMath>
      <w:r>
        <w:t xml:space="preserve"> </w:t>
      </w:r>
      <w:r>
        <w:t xml:space="preserve">for the group of banks controlled for foreign stakeholders is much lower than for banks controller by local stakeholders. One can think that international banking groups have to focus on all-around ESG measures that fit all markets and therefore their non-performing loans ratios are far less dependent on ESG measures on local level. On the other hand, locally controlled banks are more concerned with their non-performing loans ratios and therefore the relationship between non-performing loans ratios and ESG scores is stronger.</w:t>
      </w:r>
    </w:p>
    <w:tbl>
      <w:tblPr>
        <w:tblStyle w:val="Table"/>
        <w:tblW w:type="pct" w:w="5000"/>
        <w:tblLayout w:type="fixed"/>
        <w:tblLook w:firstRow="0" w:lastRow="0" w:firstColumn="0" w:lastColumn="0" w:noHBand="0" w:noVBand="0" w:val="0000"/>
      </w:tblPr>
      <w:tblGrid>
        <w:gridCol w:w="7920"/>
      </w:tblGrid>
      <w:tr>
        <w:tc>
          <w:tcPr/>
          <w:bookmarkStart w:id="66" w:name="fig-local-frgn-models-plot"/>
          <w:p>
            <w:pPr>
              <w:jc w:val="center"/>
            </w:pPr>
            <w:pPr>
              <w:jc w:val="start"/>
              <w:spacing w:before="200"/>
              <w:pStyle w:val="ImageCaption"/>
            </w:pPr>
            <w:r>
              <w:t xml:space="preserve">Figure 5: Graphical summary of estimation for local and foreign stakeholders.</w:t>
            </w:r>
          </w:p>
          <w:p>
            <w:pPr>
              <w:pStyle w:val="Compact"/>
              <w:jc w:val="center"/>
            </w:pPr>
            <w:r>
              <w:drawing>
                <wp:inline>
                  <wp:extent cx="4775200" cy="3410857"/>
                  <wp:effectExtent b="0" l="0" r="0" t="0"/>
                  <wp:docPr descr="" title="" id="63" name="Picture"/>
                  <a:graphic>
                    <a:graphicData uri="http://schemas.openxmlformats.org/drawingml/2006/picture">
                      <pic:pic>
                        <pic:nvPicPr>
                          <pic:cNvPr descr="ESG_in_banks_v2_files/figure-docx/fig-local-frgn-models-plot-1.svg" id="64" name="Picture"/>
                          <pic:cNvPicPr>
                            <a:picLocks noChangeArrowheads="1" noChangeAspect="1"/>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bwMode="auto">
                          <a:xfrm>
                            <a:off x="0" y="0"/>
                            <a:ext cx="4775200" cy="3410857"/>
                          </a:xfrm>
                          <a:prstGeom prst="rect">
                            <a:avLst/>
                          </a:prstGeom>
                          <a:noFill/>
                          <a:ln w="9525">
                            <a:noFill/>
                            <a:headEnd/>
                            <a:tailEnd/>
                          </a:ln>
                        </pic:spPr>
                      </pic:pic>
                    </a:graphicData>
                  </a:graphic>
                </wp:inline>
              </w:drawing>
            </w:r>
          </w:p>
          <w:bookmarkEnd w:id="66"/>
        </w:tc>
      </w:tr>
    </w:tbl>
    <w:p>
      <w:pPr>
        <w:pStyle w:val="Tekstpodstawowy"/>
      </w:pPr>
      <w:r>
        <w:t xml:space="preserve">Now we have some differentiation between two groups of banks, but other than Loan Loss Allowance the differences are minimal. The natural next step is to introduce a dummy variable for banks controlled by foregin stakeholders, but the effect is statistically not relevant.</w:t>
      </w:r>
    </w:p>
    <w:p>
      <w:pPr>
        <w:pStyle w:val="Tekstpodstawowy"/>
      </w:pPr>
      <w:r>
        <w:t xml:space="preserve">The last exercis we conduct is running pooling regrssions with a dummy variable for foreign stakeholders.</w:t>
      </w:r>
    </w:p>
    <w:tbl>
      <w:tblPr>
        <w:tblStyle w:val="Table"/>
        <w:tblW w:type="pct" w:w="5000"/>
        <w:tblLayout w:type="fixed"/>
        <w:tblLook w:firstRow="0" w:lastRow="0" w:firstColumn="0" w:lastColumn="0" w:noHBand="0" w:noVBand="0" w:val="0000"/>
      </w:tblPr>
      <w:tblGrid>
        <w:gridCol w:w="7920"/>
      </w:tblGrid>
      <w:tr>
        <w:tc>
          <w:tcPr/>
          <w:bookmarkStart w:id="67" w:name="tbl-local-foreign-regression-with-dummy"/>
          <w:p>
            <w:pPr>
              <w:jc w:val="center"/>
            </w:pPr>
            <w:pPr>
              <w:jc w:val="start"/>
              <w:spacing w:before="200"/>
              <w:pStyle w:val="ImageCaption"/>
            </w:pPr>
            <w:r>
              <w:t xml:space="preserve">Table 12: Regressions with dummy variable for foreign stakeholders.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166"/>
              <w:gridCol w:w="1080"/>
              <w:gridCol w:w="1080"/>
              <w:gridCol w:w="1080"/>
            </w:tblGrid>
            <w:tr>
              <w:trPr>
                <w:trHeight w:val="561"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Pooling</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Fixed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Random</w:t>
                  </w:r>
                </w:p>
              </w:tc>
            </w:tr>
            <w:tr>
              <w:trPr>
                <w:trHeight w:val="561"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(Intercept)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0.003</w:t>
                  </w:r>
                </w:p>
              </w:tc>
            </w:tr>
            <w:tr>
              <w:trPr>
                <w:trHeight w:val="5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(0.039)</w:t>
                  </w:r>
                </w:p>
              </w:tc>
            </w:tr>
            <w:tr>
              <w:trPr>
                <w:trHeight w:val="564"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lag(ESG)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-0.037</w:t>
                  </w:r>
                </w:p>
              </w:tc>
            </w:tr>
            <w:tr>
              <w:trPr>
                <w:trHeight w:val="5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(0.023)</w:t>
                  </w:r>
                </w:p>
              </w:tc>
            </w:tr>
            <w:tr>
              <w:trPr>
                <w:trHeight w:val="563"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lag(NPL)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0.111</w:t>
                  </w:r>
                </w:p>
              </w:tc>
            </w:tr>
            <w:tr>
              <w:trPr>
                <w:trHeight w:val="5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(0.122)</w:t>
                  </w:r>
                </w:p>
              </w:tc>
            </w:tr>
            <w:tr>
              <w:trPr>
                <w:trHeight w:val="564"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lag(LOAN)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0.059+</w:t>
                  </w:r>
                </w:p>
              </w:tc>
            </w:tr>
            <w:tr>
              <w:trPr>
                <w:trHeight w:val="5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(0.033)</w:t>
                  </w:r>
                </w:p>
              </w:tc>
            </w:tr>
            <w:tr>
              <w:trPr>
                <w:trHeight w:val="563"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lag(ALW)</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-0.356</w:t>
                  </w:r>
                </w:p>
              </w:tc>
            </w:tr>
            <w:tr>
              <w:trPr>
                <w:trHeight w:val="5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(0.263)</w:t>
                  </w:r>
                </w:p>
              </w:tc>
            </w:tr>
            <w:tr>
              <w:trPr>
                <w:trHeight w:val="532"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FOREIGN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0.015</w:t>
                  </w:r>
                </w:p>
              </w:tc>
            </w:tr>
            <w:tr>
              <w:trPr>
                <w:trHeight w:val="5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(0.013)</w:t>
                  </w:r>
                </w:p>
              </w:tc>
            </w:tr>
            <w:tr>
              <w:trPr>
                <w:trHeight w:val="532"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Num.Obs.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72</w:t>
                  </w:r>
                </w:p>
              </w:tc>
            </w:tr>
            <w:tr>
              <w:trPr>
                <w:trHeight w:val="526"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0.213</w:t>
                  </w:r>
                </w:p>
              </w:tc>
            </w:tr>
            <w:tr>
              <w:trPr>
                <w:trHeight w:val="5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R2 Adj.</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0.506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0.153</w:t>
                  </w:r>
                </w:p>
              </w:tc>
            </w:tr>
            <w:tr>
              <w:trPr>
                <w:trHeight w:val="532"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AIC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-352.4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-345.7</w:t>
                  </w:r>
                </w:p>
              </w:tc>
            </w:tr>
            <w:tr>
              <w:trPr>
                <w:trHeight w:val="532" w:hRule="auto"/>
              </w:trPr>
              body17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-338.8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-329.8</w:t>
                  </w:r>
                </w:p>
              </w:tc>
            </w:tr>
            <w:tr>
              <w:trPr>
                <w:trHeight w:val="532" w:hRule="auto"/>
              </w:trPr>
              body18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RMSE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0.02</w:t>
                  </w:r>
                </w:p>
              </w:tc>
            </w:tr>
            <w:tr>
              <w:trPr>
                <w:trHeight w:val="360" w:hRule="auto"/>
              </w:trPr>
              footer 1
              <w:tc>
                <w:tcPr>
                  <w:gridSpan w:val="4"/>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Helvetica" w:hAnsi="Helvetica" w:eastAsia="Helvetica" w:cs="Helvetica"/>
                      <w:i w:val="false"/>
                      <w:b w:val="false"/>
                      <w:u w:val="none"/>
                      <w:sz w:val="16"/>
                      <w:szCs w:val="16"/>
                      <w:color w:val="000000"/>
                    </w:rPr>
                    <w:t xml:space="preserve">+ p &lt; 0.1, * p &lt; 0.05, ** p &lt; 0.01, *** p &lt; 0.001</w:t>
                  </w:r>
                </w:p>
              </w:tc>
            </w:tr>
          </w:tbl>
          <w:bookmarkEnd w:id="67"/>
        </w:tc>
      </w:tr>
    </w:tbl>
    <w:p>
      <w:pPr>
        <w:pStyle w:val="Tekstpodstawowy"/>
      </w:pPr>
      <w:r>
        <w:t xml:space="preserve">The results, presented in</w:t>
      </w:r>
      <w:r>
        <w:t xml:space="preserve"> </w:t>
      </w:r>
      <w:hyperlink w:anchor="tbl-local-foreign-regression-with-dummy">
        <w:r>
          <w:rPr>
            <w:rStyle w:val="Hipercze"/>
          </w:rPr>
          <w:t xml:space="preserve">Table 12</w:t>
        </w:r>
      </w:hyperlink>
      <w:r>
        <w:t xml:space="preserve">, confirm all observations presented earlier in the paper. We can conlude that we have no basis for rejecting</w:t>
      </w:r>
      <w:r>
        <w:t xml:space="preserve"> </w:t>
      </w:r>
      <w:r>
        <w:rPr>
          <w:b/>
          <w:bCs/>
        </w:rPr>
        <w:t xml:space="preserve">H1</w:t>
      </w:r>
      <w:r>
        <w:t xml:space="preserve"> </w:t>
      </w:r>
      <w:r>
        <w:t xml:space="preserve">hypothesis. It implies that ESG scores are relevant to determining non-performing loans ratios. The social component is the most important here. We can interpret is as impact of how employees of a bank interact with its environment and how they are willing to cooperate with banks’ clients in resolving and addressing their problems. Companies with high environmental score pay attention to limiting their carbon footprint and general awareness to environmental issues. Companies with high governance score follow rules of proper governance structure. In both cases, it may help improve their business conduct, but the social score has the more direct relationship. Paying more attention to social interaction within a bank also improves relationships with banks’ customers.</w:t>
      </w:r>
    </w:p>
    <w:bookmarkEnd w:id="68"/>
    <w:bookmarkEnd w:id="69"/>
    <w:bookmarkStart w:id="70" w:name="conclusions"/>
    <w:p>
      <w:pPr>
        <w:pStyle w:val="Nagwek1"/>
      </w:pPr>
      <w:r>
        <w:t xml:space="preserve">Conclusions</w:t>
      </w:r>
    </w:p>
    <w:p>
      <w:pPr>
        <w:pStyle w:val="FirstParagraph"/>
      </w:pPr>
      <w:r>
        <w:t xml:space="preserve">This study investigated the relationship between the non-performing loans (NPL) ratio for the commercial banking sector in Poland. We investigated the influence of ESG score on non-performing loans ratio. Independently of a method used for estimation of the relationship, we found that improving ESG score also lowers non-performing loans ratio. Therefore, we can conclude that we have no basis for rejecting both hypothesis that we stated at the beginning of this paper – ESG score ultimately improves non-performing loans ratio and all ESG components have the same improving effect. One has to keep in mind that the impact of the social component is the strongest. Threfore, focusing on social score may improve performance of a credit portfolio.</w:t>
      </w:r>
    </w:p>
    <w:bookmarkEnd w:id="70"/>
    <w:bookmarkStart w:id="151" w:name="references"/>
    <w:p>
      <w:pPr>
        <w:pStyle w:val="Nagwek1"/>
      </w:pPr>
      <w:r>
        <w:t xml:space="preserve">References</w:t>
      </w:r>
    </w:p>
    <w:bookmarkStart w:id="150" w:name="refs"/>
    <w:bookmarkStart w:id="72" w:name="ref-aevoaeESGSystemicRisk2022"/>
    <w:p>
      <w:pPr>
        <w:pStyle w:val="Bibliografia"/>
      </w:pPr>
      <w:r>
        <w:t xml:space="preserve">Aevoae, G.-M., Andries, A. M., Ongena, S., &amp; Sprincean, N. (2022, March 11).</w:t>
      </w:r>
      <w:r>
        <w:t xml:space="preserve"> </w:t>
      </w:r>
      <w:r>
        <w:t xml:space="preserve">ESG</w:t>
      </w:r>
      <w:r>
        <w:t xml:space="preserve"> </w:t>
      </w:r>
      <w:r>
        <w:t xml:space="preserve">and</w:t>
      </w:r>
      <w:r>
        <w:t xml:space="preserve"> </w:t>
      </w:r>
      <w:r>
        <w:t xml:space="preserve">Systemic Risk</w:t>
      </w:r>
      <w:r>
        <w:t xml:space="preserve"> </w:t>
      </w:r>
      <w:r>
        <w:t xml:space="preserve">[SSRN Scholarly Paper].</w:t>
      </w:r>
      <w:r>
        <w:t xml:space="preserve"> </w:t>
      </w:r>
      <w:hyperlink r:id="rId71">
        <w:r>
          <w:rPr>
            <w:rStyle w:val="Hipercze"/>
          </w:rPr>
          <w:t xml:space="preserve">https://doi.org/10.2139/ssrn.4058477</w:t>
        </w:r>
      </w:hyperlink>
    </w:p>
    <w:bookmarkEnd w:id="72"/>
    <w:bookmarkStart w:id="74" w:name="ref-alamESGACTIVITIESBANK"/>
    <w:p>
      <w:pPr>
        <w:pStyle w:val="Bibliografia"/>
      </w:pPr>
      <w:r>
        <w:t xml:space="preserve">Alam, A., Banna, H., &amp; Hassan, K. (n.d.).</w:t>
      </w:r>
      <w:r>
        <w:t xml:space="preserve"> </w:t>
      </w:r>
      <w:r>
        <w:t xml:space="preserve">ESG ACTIVITIES AND BANK EFFICIENCY</w:t>
      </w:r>
      <w:r>
        <w:t xml:space="preserve">:</w:t>
      </w:r>
      <w:r>
        <w:t xml:space="preserve"> </w:t>
      </w:r>
      <w:r>
        <w:t xml:space="preserve">ARE ISLAMIC BANKS BETTER</w:t>
      </w:r>
      <w:r>
        <w:t xml:space="preserve">?</w:t>
      </w:r>
      <w:r>
        <w:t xml:space="preserve"> </w:t>
      </w:r>
      <w:r>
        <w:rPr>
          <w:i/>
          <w:iCs/>
        </w:rPr>
        <w:t xml:space="preserve">Journal of Islamic Monetary Economics and Finance</w:t>
      </w:r>
      <w:r>
        <w:t xml:space="preserve">,</w:t>
      </w:r>
      <w:r>
        <w:t xml:space="preserve"> </w:t>
      </w:r>
      <w:r>
        <w:rPr>
          <w:i/>
          <w:iCs/>
        </w:rPr>
        <w:t xml:space="preserve">8(1)</w:t>
      </w:r>
      <w:r>
        <w:t xml:space="preserve">, 65–88.</w:t>
      </w:r>
      <w:r>
        <w:t xml:space="preserve"> </w:t>
      </w:r>
      <w:hyperlink r:id="rId73">
        <w:r>
          <w:rPr>
            <w:rStyle w:val="Hipercze"/>
          </w:rPr>
          <w:t xml:space="preserve">https://doi.org/10.21098/jimf.v8i1.1428</w:t>
        </w:r>
      </w:hyperlink>
    </w:p>
    <w:bookmarkEnd w:id="74"/>
    <w:bookmarkStart w:id="76" w:name="ref-azmiESGActivitiesBanking2021"/>
    <w:p>
      <w:pPr>
        <w:pStyle w:val="Bibliografia"/>
      </w:pPr>
      <w:r>
        <w:t xml:space="preserve">Azmi, W., Hassan, M. K., Houston, R., &amp; Karim, M. S. (2021).</w:t>
      </w:r>
      <w:r>
        <w:t xml:space="preserve"> </w:t>
      </w:r>
      <w:r>
        <w:t xml:space="preserve">ESG</w:t>
      </w:r>
      <w:r>
        <w:t xml:space="preserve"> </w:t>
      </w:r>
      <w:r>
        <w:t xml:space="preserve">activities and banking performance:</w:t>
      </w:r>
      <w:r>
        <w:t xml:space="preserve"> </w:t>
      </w:r>
      <w:r>
        <w:t xml:space="preserve">International</w:t>
      </w:r>
      <w:r>
        <w:t xml:space="preserve"> </w:t>
      </w:r>
      <w:r>
        <w:t xml:space="preserve">evidence from emerging economies.</w:t>
      </w:r>
      <w:r>
        <w:t xml:space="preserve"> </w:t>
      </w:r>
      <w:r>
        <w:rPr>
          <w:i/>
          <w:iCs/>
        </w:rPr>
        <w:t xml:space="preserve">Journal of International Financial Markets, Institutions and Money</w:t>
      </w:r>
      <w:r>
        <w:t xml:space="preserve">,</w:t>
      </w:r>
      <w:r>
        <w:t xml:space="preserve"> </w:t>
      </w:r>
      <w:r>
        <w:rPr>
          <w:i/>
          <w:iCs/>
        </w:rPr>
        <w:t xml:space="preserve">70</w:t>
      </w:r>
      <w:r>
        <w:t xml:space="preserve">, 101277.</w:t>
      </w:r>
      <w:r>
        <w:t xml:space="preserve"> </w:t>
      </w:r>
      <w:hyperlink r:id="rId75">
        <w:r>
          <w:rPr>
            <w:rStyle w:val="Hipercze"/>
          </w:rPr>
          <w:t xml:space="preserve">https://doi.org/10.1016/j.intfin.2020.101277</w:t>
        </w:r>
      </w:hyperlink>
    </w:p>
    <w:bookmarkEnd w:id="76"/>
    <w:bookmarkStart w:id="78" w:name="ref-basuWalkingWalkBank2022a"/>
    <w:p>
      <w:pPr>
        <w:pStyle w:val="Bibliografia"/>
      </w:pPr>
      <w:r>
        <w:t xml:space="preserve">Basu, S., Vitanza, J., Wang, W., &amp; Zhu, X. (Ross). (2022, May 13). Walking the</w:t>
      </w:r>
      <w:r>
        <w:t xml:space="preserve"> </w:t>
      </w:r>
      <w:r>
        <w:t xml:space="preserve">Walk</w:t>
      </w:r>
      <w:r>
        <w:t xml:space="preserve">?</w:t>
      </w:r>
      <w:r>
        <w:t xml:space="preserve"> </w:t>
      </w:r>
      <w:r>
        <w:t xml:space="preserve">Bank ESG Disclosures</w:t>
      </w:r>
      <w:r>
        <w:t xml:space="preserve"> </w:t>
      </w:r>
      <w:r>
        <w:t xml:space="preserve">and</w:t>
      </w:r>
      <w:r>
        <w:t xml:space="preserve"> </w:t>
      </w:r>
      <w:r>
        <w:t xml:space="preserve">Home Mortgage Lending</w:t>
      </w:r>
      <w:r>
        <w:t xml:space="preserve"> </w:t>
      </w:r>
      <w:r>
        <w:t xml:space="preserve">[SSRN Scholarly Paper].</w:t>
      </w:r>
      <w:r>
        <w:t xml:space="preserve"> </w:t>
      </w:r>
      <w:hyperlink r:id="rId77">
        <w:r>
          <w:rPr>
            <w:rStyle w:val="Hipercze"/>
          </w:rPr>
          <w:t xml:space="preserve">https://doi.org/10.2139/ssrn.3807685</w:t>
        </w:r>
      </w:hyperlink>
    </w:p>
    <w:bookmarkEnd w:id="78"/>
    <w:bookmarkStart w:id="80" w:name="ref-beckKeyDeterminantsNonperforming2015"/>
    <w:p>
      <w:pPr>
        <w:pStyle w:val="Bibliografia"/>
      </w:pPr>
      <w:r>
        <w:t xml:space="preserve">Beck, R., Jakubík, P., &amp; Piloiu, A. (2015). Key</w:t>
      </w:r>
      <w:r>
        <w:t xml:space="preserve"> </w:t>
      </w:r>
      <w:r>
        <w:t xml:space="preserve">Determinants</w:t>
      </w:r>
      <w:r>
        <w:t xml:space="preserve"> </w:t>
      </w:r>
      <w:r>
        <w:t xml:space="preserve">of</w:t>
      </w:r>
      <w:r>
        <w:t xml:space="preserve"> </w:t>
      </w:r>
      <w:r>
        <w:t xml:space="preserve">Non-performing Loans</w:t>
      </w:r>
      <w:r>
        <w:t xml:space="preserve">:</w:t>
      </w:r>
      <w:r>
        <w:t xml:space="preserve"> </w:t>
      </w:r>
      <w:r>
        <w:t xml:space="preserve">New Evidence</w:t>
      </w:r>
      <w:r>
        <w:t xml:space="preserve"> </w:t>
      </w:r>
      <w:r>
        <w:t xml:space="preserve">from a</w:t>
      </w:r>
      <w:r>
        <w:t xml:space="preserve"> </w:t>
      </w:r>
      <w:r>
        <w:t xml:space="preserve">Global Sample</w:t>
      </w:r>
      <w:r>
        <w:t xml:space="preserve">.</w:t>
      </w:r>
      <w:r>
        <w:t xml:space="preserve"> </w:t>
      </w:r>
      <w:r>
        <w:rPr>
          <w:i/>
          <w:iCs/>
        </w:rPr>
        <w:t xml:space="preserve">Open Economies Review</w:t>
      </w:r>
      <w:r>
        <w:t xml:space="preserve">,</w:t>
      </w:r>
      <w:r>
        <w:t xml:space="preserve"> </w:t>
      </w:r>
      <w:r>
        <w:rPr>
          <w:i/>
          <w:iCs/>
        </w:rPr>
        <w:t xml:space="preserve">26</w:t>
      </w:r>
      <w:r>
        <w:t xml:space="preserve">(3), 525–550.</w:t>
      </w:r>
      <w:r>
        <w:t xml:space="preserve"> </w:t>
      </w:r>
      <w:hyperlink r:id="rId79">
        <w:r>
          <w:rPr>
            <w:rStyle w:val="Hipercze"/>
          </w:rPr>
          <w:t xml:space="preserve">https://doi.org/DOI: 10.1007/s11079-015-9358-8</w:t>
        </w:r>
      </w:hyperlink>
    </w:p>
    <w:bookmarkEnd w:id="80"/>
    <w:bookmarkStart w:id="82" w:name="ref-borsukSpecyficzneCzynnikiRyzyka2020"/>
    <w:p>
      <w:pPr>
        <w:pStyle w:val="Bibliografia"/>
      </w:pPr>
      <w:r>
        <w:t xml:space="preserve">Borsuk, M., &amp; Markiewicz, J. (2020). Specyficzne czynniki ryzyka kredytowego w bankach spółdzielczych i komercyjnych.</w:t>
      </w:r>
      <w:r>
        <w:t xml:space="preserve"> </w:t>
      </w:r>
      <w:r>
        <w:rPr>
          <w:i/>
          <w:iCs/>
        </w:rPr>
        <w:t xml:space="preserve">Bezpieczny Bank</w:t>
      </w:r>
      <w:r>
        <w:t xml:space="preserve">, 70–87.</w:t>
      </w:r>
      <w:r>
        <w:t xml:space="preserve"> </w:t>
      </w:r>
      <w:hyperlink r:id="rId81">
        <w:r>
          <w:rPr>
            <w:rStyle w:val="Hipercze"/>
          </w:rPr>
          <w:t xml:space="preserve">https://doi.org/10.26354/bb.4.1.78.2020</w:t>
        </w:r>
      </w:hyperlink>
    </w:p>
    <w:bookmarkEnd w:id="82"/>
    <w:bookmarkStart w:id="84" w:name="ref-brunoBankCreditLoss2024"/>
    <w:p>
      <w:pPr>
        <w:pStyle w:val="Bibliografia"/>
      </w:pPr>
      <w:r>
        <w:t xml:space="preserve">Bruno, E., Iacoviello, G., &amp; Giannetti, C. (2024). Bank credit loss and</w:t>
      </w:r>
      <w:r>
        <w:t xml:space="preserve"> </w:t>
      </w:r>
      <w:r>
        <w:t xml:space="preserve">ESG</w:t>
      </w:r>
      <w:r>
        <w:t xml:space="preserve"> </w:t>
      </w:r>
      <w:r>
        <w:t xml:space="preserve">performance.</w:t>
      </w:r>
      <w:r>
        <w:t xml:space="preserve"> </w:t>
      </w:r>
      <w:r>
        <w:rPr>
          <w:i/>
          <w:iCs/>
        </w:rPr>
        <w:t xml:space="preserve">Finance Research Letters</w:t>
      </w:r>
      <w:r>
        <w:t xml:space="preserve">,</w:t>
      </w:r>
      <w:r>
        <w:t xml:space="preserve"> </w:t>
      </w:r>
      <w:r>
        <w:rPr>
          <w:i/>
          <w:iCs/>
        </w:rPr>
        <w:t xml:space="preserve">59</w:t>
      </w:r>
      <w:r>
        <w:t xml:space="preserve">, 104719.</w:t>
      </w:r>
      <w:r>
        <w:t xml:space="preserve"> </w:t>
      </w:r>
      <w:hyperlink r:id="rId83">
        <w:r>
          <w:rPr>
            <w:rStyle w:val="Hipercze"/>
          </w:rPr>
          <w:t xml:space="preserve">https://doi.org/10.1016/j.frl.2023.104719</w:t>
        </w:r>
      </w:hyperlink>
    </w:p>
    <w:bookmarkEnd w:id="84"/>
    <w:bookmarkStart w:id="86" w:name="ref-chiaramonteESGStrategiesEnhance2022"/>
    <w:p>
      <w:pPr>
        <w:pStyle w:val="Bibliografia"/>
      </w:pPr>
      <w:r>
        <w:t xml:space="preserve">Chiaramonte, L., Dreassi, A., Girardone, C., &amp; Piserà, S. (2022). Do</w:t>
      </w:r>
      <w:r>
        <w:t xml:space="preserve"> </w:t>
      </w:r>
      <w:r>
        <w:t xml:space="preserve">ESG</w:t>
      </w:r>
      <w:r>
        <w:t xml:space="preserve"> </w:t>
      </w:r>
      <w:r>
        <w:t xml:space="preserve">strategies enhance bank stability during financial turmoil?</w:t>
      </w:r>
      <w:r>
        <w:t xml:space="preserve"> </w:t>
      </w:r>
      <w:r>
        <w:t xml:space="preserve">Evidence</w:t>
      </w:r>
      <w:r>
        <w:t xml:space="preserve"> </w:t>
      </w:r>
      <w:r>
        <w:t xml:space="preserve">from</w:t>
      </w:r>
      <w:r>
        <w:t xml:space="preserve"> </w:t>
      </w:r>
      <w:r>
        <w:t xml:space="preserve">Europe</w:t>
      </w:r>
      <w:r>
        <w:t xml:space="preserve">.</w:t>
      </w:r>
      <w:r>
        <w:t xml:space="preserve"> </w:t>
      </w:r>
      <w:r>
        <w:rPr>
          <w:i/>
          <w:iCs/>
        </w:rPr>
        <w:t xml:space="preserve">The European Journal of Finance</w:t>
      </w:r>
      <w:r>
        <w:t xml:space="preserve">,</w:t>
      </w:r>
      <w:r>
        <w:t xml:space="preserve"> </w:t>
      </w:r>
      <w:r>
        <w:rPr>
          <w:i/>
          <w:iCs/>
        </w:rPr>
        <w:t xml:space="preserve">28</w:t>
      </w:r>
      <w:r>
        <w:t xml:space="preserve">(12), 1173–1211.</w:t>
      </w:r>
      <w:r>
        <w:t xml:space="preserve"> </w:t>
      </w:r>
      <w:hyperlink r:id="rId85">
        <w:r>
          <w:rPr>
            <w:rStyle w:val="Hipercze"/>
          </w:rPr>
          <w:t xml:space="preserve">https://doi.org/10.1080/1351847X.2021.1964556</w:t>
        </w:r>
      </w:hyperlink>
    </w:p>
    <w:bookmarkEnd w:id="86"/>
    <w:bookmarkStart w:id="88" w:name="ref-citterioRoleEnvironmentalSocial2023"/>
    <w:p>
      <w:pPr>
        <w:pStyle w:val="Bibliografia"/>
      </w:pPr>
      <w:r>
        <w:t xml:space="preserve">Citterio, A., &amp; King, T. (2023). The role of</w:t>
      </w:r>
      <w:r>
        <w:t xml:space="preserve"> </w:t>
      </w:r>
      <w:r>
        <w:t xml:space="preserve">Environmental</w:t>
      </w:r>
      <w:r>
        <w:t xml:space="preserve">,</w:t>
      </w:r>
      <w:r>
        <w:t xml:space="preserve"> </w:t>
      </w:r>
      <w:r>
        <w:t xml:space="preserve">Social</w:t>
      </w:r>
      <w:r>
        <w:t xml:space="preserve">, and</w:t>
      </w:r>
      <w:r>
        <w:t xml:space="preserve"> </w:t>
      </w:r>
      <w:r>
        <w:t xml:space="preserve">Governance</w:t>
      </w:r>
      <w:r>
        <w:t xml:space="preserve"> </w:t>
      </w:r>
      <w:r>
        <w:t xml:space="preserve">(</w:t>
      </w:r>
      <w:r>
        <w:t xml:space="preserve">ESG</w:t>
      </w:r>
      <w:r>
        <w:t xml:space="preserve">) in predicting bank financial distress.</w:t>
      </w:r>
      <w:r>
        <w:t xml:space="preserve"> </w:t>
      </w:r>
      <w:r>
        <w:rPr>
          <w:i/>
          <w:iCs/>
        </w:rPr>
        <w:t xml:space="preserve">Finance Research Letters</w:t>
      </w:r>
      <w:r>
        <w:t xml:space="preserve">,</w:t>
      </w:r>
      <w:r>
        <w:t xml:space="preserve"> </w:t>
      </w:r>
      <w:r>
        <w:rPr>
          <w:i/>
          <w:iCs/>
        </w:rPr>
        <w:t xml:space="preserve">51</w:t>
      </w:r>
      <w:r>
        <w:t xml:space="preserve">, 103411.</w:t>
      </w:r>
      <w:r>
        <w:t xml:space="preserve"> </w:t>
      </w:r>
      <w:hyperlink r:id="rId87">
        <w:r>
          <w:rPr>
            <w:rStyle w:val="Hipercze"/>
          </w:rPr>
          <w:t xml:space="preserve">https://doi.org/10.1016/j.frl.2022.103411</w:t>
        </w:r>
      </w:hyperlink>
    </w:p>
    <w:bookmarkEnd w:id="88"/>
    <w:bookmarkStart w:id="90" w:name="X3963626ddd91de186011242b20ababa39fbf0cb"/>
    <w:p>
      <w:pPr>
        <w:pStyle w:val="Bibliografia"/>
      </w:pPr>
      <w:r>
        <w:t xml:space="preserve">Ciukaj, R., &amp; Kil, K. (2020). Determinants of the non-performing loan ratio in the</w:t>
      </w:r>
      <w:r>
        <w:t xml:space="preserve"> </w:t>
      </w:r>
      <w:r>
        <w:t xml:space="preserve">European Union</w:t>
      </w:r>
      <w:r>
        <w:t xml:space="preserve"> </w:t>
      </w:r>
      <w:r>
        <w:t xml:space="preserve">banking sectors with a high level of impaired loans.</w:t>
      </w:r>
      <w:r>
        <w:t xml:space="preserve"> </w:t>
      </w:r>
      <w:r>
        <w:rPr>
          <w:i/>
          <w:iCs/>
        </w:rPr>
        <w:t xml:space="preserve">Economics and Business Review</w:t>
      </w:r>
      <w:r>
        <w:t xml:space="preserve">,</w:t>
      </w:r>
      <w:r>
        <w:t xml:space="preserve"> </w:t>
      </w:r>
      <w:r>
        <w:rPr>
          <w:i/>
          <w:iCs/>
        </w:rPr>
        <w:t xml:space="preserve">6</w:t>
      </w:r>
      <w:r>
        <w:t xml:space="preserve">(1, 1), 22–45.</w:t>
      </w:r>
      <w:r>
        <w:t xml:space="preserve"> </w:t>
      </w:r>
      <w:hyperlink r:id="rId89">
        <w:r>
          <w:rPr>
            <w:rStyle w:val="Hipercze"/>
          </w:rPr>
          <w:t xml:space="preserve">https://doi.org/10.18559/ebr.2020.1.2</w:t>
        </w:r>
      </w:hyperlink>
    </w:p>
    <w:bookmarkEnd w:id="90"/>
    <w:bookmarkStart w:id="92" w:name="ref-danismanESGActivityBank2024"/>
    <w:p>
      <w:pPr>
        <w:pStyle w:val="Bibliografia"/>
      </w:pPr>
      <w:r>
        <w:t xml:space="preserve">Danisman, G. O., &amp; Tarazi, A. (2024).</w:t>
      </w:r>
      <w:r>
        <w:t xml:space="preserve"> </w:t>
      </w:r>
      <w:r>
        <w:rPr>
          <w:i/>
          <w:iCs/>
        </w:rPr>
        <w:t xml:space="preserve">ESG</w:t>
      </w:r>
      <w:r>
        <w:rPr>
          <w:i/>
          <w:iCs/>
        </w:rPr>
        <w:t xml:space="preserve"> </w:t>
      </w:r>
      <w:r>
        <w:rPr>
          <w:i/>
          <w:iCs/>
        </w:rPr>
        <w:t xml:space="preserve">activity and bank lending during financial crises</w:t>
      </w:r>
      <w:r>
        <w:t xml:space="preserve">.</w:t>
      </w:r>
      <w:r>
        <w:t xml:space="preserve"> </w:t>
      </w:r>
      <w:r>
        <w:rPr>
          <w:i/>
          <w:iCs/>
        </w:rPr>
        <w:t xml:space="preserve">70</w:t>
      </w:r>
      <w:r>
        <w:t xml:space="preserve">.</w:t>
      </w:r>
      <w:r>
        <w:t xml:space="preserve"> </w:t>
      </w:r>
      <w:hyperlink r:id="rId91">
        <w:r>
          <w:rPr>
            <w:rStyle w:val="Hipercze"/>
          </w:rPr>
          <w:t xml:space="preserve">https://doi.org/10.1016/j.jfs.2023.101206</w:t>
        </w:r>
      </w:hyperlink>
    </w:p>
    <w:bookmarkEnd w:id="92"/>
    <w:bookmarkStart w:id="94" w:name="ref-demirBankingSectorReactions2021"/>
    <w:p>
      <w:pPr>
        <w:pStyle w:val="Bibliografia"/>
      </w:pPr>
      <w:r>
        <w:t xml:space="preserve">Demir, E., &amp; Danisman, G. O. (2021, February 10). Banking</w:t>
      </w:r>
      <w:r>
        <w:t xml:space="preserve"> </w:t>
      </w:r>
      <w:r>
        <w:t xml:space="preserve">Sector Reactions</w:t>
      </w:r>
      <w:r>
        <w:t xml:space="preserve"> </w:t>
      </w:r>
      <w:r>
        <w:t xml:space="preserve">to the</w:t>
      </w:r>
      <w:r>
        <w:t xml:space="preserve"> </w:t>
      </w:r>
      <w:r>
        <w:t xml:space="preserve">COVID-19</w:t>
      </w:r>
      <w:r>
        <w:t xml:space="preserve">:</w:t>
      </w:r>
      <w:r>
        <w:t xml:space="preserve"> </w:t>
      </w:r>
      <w:r>
        <w:t xml:space="preserve">The Role</w:t>
      </w:r>
      <w:r>
        <w:t xml:space="preserve"> </w:t>
      </w:r>
      <w:r>
        <w:t xml:space="preserve">of</w:t>
      </w:r>
      <w:r>
        <w:t xml:space="preserve"> </w:t>
      </w:r>
      <w:r>
        <w:t xml:space="preserve">Bank-Specific Factors</w:t>
      </w:r>
      <w:r>
        <w:t xml:space="preserve"> </w:t>
      </w:r>
      <w:r>
        <w:t xml:space="preserve">and</w:t>
      </w:r>
      <w:r>
        <w:t xml:space="preserve"> </w:t>
      </w:r>
      <w:r>
        <w:t xml:space="preserve">Government Policy Responses</w:t>
      </w:r>
      <w:r>
        <w:t xml:space="preserve"> </w:t>
      </w:r>
      <w:r>
        <w:t xml:space="preserve">[SSRN Scholarly Paper].</w:t>
      </w:r>
      <w:r>
        <w:t xml:space="preserve"> </w:t>
      </w:r>
      <w:hyperlink r:id="rId93">
        <w:r>
          <w:rPr>
            <w:rStyle w:val="Hipercze"/>
          </w:rPr>
          <w:t xml:space="preserve">https://doi.org/10.2139/ssrn.3628261</w:t>
        </w:r>
      </w:hyperlink>
    </w:p>
    <w:bookmarkEnd w:id="94"/>
    <w:bookmarkStart w:id="96" w:name="Xb3f4ca74a07da099d522d0d428f2b4b2b2c4b0b"/>
    <w:p>
      <w:pPr>
        <w:pStyle w:val="Bibliografia"/>
      </w:pPr>
      <w:r>
        <w:t xml:space="preserve">Dimitrios, A., Helen, L., &amp; Mike, T. (2016). Determinants of non-performing loans:</w:t>
      </w:r>
      <w:r>
        <w:t xml:space="preserve"> </w:t>
      </w:r>
      <w:r>
        <w:t xml:space="preserve">Evidence</w:t>
      </w:r>
      <w:r>
        <w:t xml:space="preserve"> </w:t>
      </w:r>
      <w:r>
        <w:t xml:space="preserve">from</w:t>
      </w:r>
      <w:r>
        <w:t xml:space="preserve"> </w:t>
      </w:r>
      <w:r>
        <w:t xml:space="preserve">Euro-area</w:t>
      </w:r>
      <w:r>
        <w:t xml:space="preserve"> </w:t>
      </w:r>
      <w:r>
        <w:t xml:space="preserve">countries.</w:t>
      </w:r>
      <w:r>
        <w:t xml:space="preserve"> </w:t>
      </w:r>
      <w:r>
        <w:rPr>
          <w:i/>
          <w:iCs/>
        </w:rPr>
        <w:t xml:space="preserve">Finance Research Letters</w:t>
      </w:r>
      <w:r>
        <w:t xml:space="preserve">,</w:t>
      </w:r>
      <w:r>
        <w:t xml:space="preserve"> </w:t>
      </w:r>
      <w:r>
        <w:rPr>
          <w:i/>
          <w:iCs/>
        </w:rPr>
        <w:t xml:space="preserve">18</w:t>
      </w:r>
      <w:r>
        <w:t xml:space="preserve">(C), 116–119. Retrieved from</w:t>
      </w:r>
      <w:r>
        <w:t xml:space="preserve"> </w:t>
      </w:r>
      <w:hyperlink r:id="rId95">
        <w:r>
          <w:rPr>
            <w:rStyle w:val="Hipercze"/>
          </w:rPr>
          <w:t xml:space="preserve">https://ideas.repec.org//a/eee/finlet/v18y2016icp116-119.html</w:t>
        </w:r>
      </w:hyperlink>
    </w:p>
    <w:bookmarkEnd w:id="96"/>
    <w:bookmarkStart w:id="98" w:name="Xe1c6996021f00988ff4368ea10f6bfd9dcde977"/>
    <w:p>
      <w:pPr>
        <w:pStyle w:val="Bibliografia"/>
      </w:pPr>
      <w:r>
        <w:t xml:space="preserve">Donaldson, T., &amp; Preston, L. E. (1995). The</w:t>
      </w:r>
      <w:r>
        <w:t xml:space="preserve"> </w:t>
      </w:r>
      <w:r>
        <w:t xml:space="preserve">Stakeholder Theory</w:t>
      </w:r>
      <w:r>
        <w:t xml:space="preserve"> </w:t>
      </w:r>
      <w:r>
        <w:t xml:space="preserve">of the</w:t>
      </w:r>
      <w:r>
        <w:t xml:space="preserve"> </w:t>
      </w:r>
      <w:r>
        <w:t xml:space="preserve">Corporation</w:t>
      </w:r>
      <w:r>
        <w:t xml:space="preserve">:</w:t>
      </w:r>
      <w:r>
        <w:t xml:space="preserve"> </w:t>
      </w:r>
      <w:r>
        <w:t xml:space="preserve">Concepts</w:t>
      </w:r>
      <w:r>
        <w:t xml:space="preserve">,</w:t>
      </w:r>
      <w:r>
        <w:t xml:space="preserve"> </w:t>
      </w:r>
      <w:r>
        <w:t xml:space="preserve">Evidence</w:t>
      </w:r>
      <w:r>
        <w:t xml:space="preserve">, and</w:t>
      </w:r>
      <w:r>
        <w:t xml:space="preserve"> </w:t>
      </w:r>
      <w:r>
        <w:t xml:space="preserve">Implications</w:t>
      </w:r>
      <w:r>
        <w:t xml:space="preserve">.</w:t>
      </w:r>
      <w:r>
        <w:t xml:space="preserve"> </w:t>
      </w:r>
      <w:r>
        <w:rPr>
          <w:i/>
          <w:iCs/>
        </w:rPr>
        <w:t xml:space="preserve">The Academy of Management Review</w:t>
      </w:r>
      <w:r>
        <w:t xml:space="preserve">,</w:t>
      </w:r>
      <w:r>
        <w:t xml:space="preserve"> </w:t>
      </w:r>
      <w:r>
        <w:rPr>
          <w:i/>
          <w:iCs/>
        </w:rPr>
        <w:t xml:space="preserve">20</w:t>
      </w:r>
      <w:r>
        <w:t xml:space="preserve">(1), 65–91.</w:t>
      </w:r>
      <w:r>
        <w:t xml:space="preserve"> </w:t>
      </w:r>
      <w:hyperlink r:id="rId97">
        <w:r>
          <w:rPr>
            <w:rStyle w:val="Hipercze"/>
          </w:rPr>
          <w:t xml:space="preserve">https://doi.org/10.2307/258887</w:t>
        </w:r>
      </w:hyperlink>
    </w:p>
    <w:bookmarkEnd w:id="98"/>
    <w:bookmarkStart w:id="99" w:name="Xace328a0248bfda6e830cbe9f787ad73729e71e"/>
    <w:p>
      <w:pPr>
        <w:pStyle w:val="Bibliografia"/>
      </w:pPr>
      <w:r>
        <w:t xml:space="preserve">Donath, L., Cerna, V., &amp; Oprea, I. (2014). Macroeconomic</w:t>
      </w:r>
      <w:r>
        <w:t xml:space="preserve"> </w:t>
      </w:r>
      <w:r>
        <w:t xml:space="preserve">Determinants Of Bad Loans In Baltic Countries And Romania</w:t>
      </w:r>
      <w:r>
        <w:t xml:space="preserve">.</w:t>
      </w:r>
      <w:r>
        <w:t xml:space="preserve"> </w:t>
      </w:r>
      <w:r>
        <w:rPr>
          <w:i/>
          <w:iCs/>
        </w:rPr>
        <w:t xml:space="preserve">SEA-Practical Application of Science</w:t>
      </w:r>
      <w:r>
        <w:t xml:space="preserve">,</w:t>
      </w:r>
      <w:r>
        <w:t xml:space="preserve"> </w:t>
      </w:r>
      <w:r>
        <w:rPr>
          <w:i/>
          <w:iCs/>
        </w:rPr>
        <w:t xml:space="preserve">II</w:t>
      </w:r>
      <w:r>
        <w:t xml:space="preserve">, 71–80.</w:t>
      </w:r>
    </w:p>
    <w:bookmarkEnd w:id="99"/>
    <w:bookmarkStart w:id="101" w:name="ref-ebaEBAReportESG2021"/>
    <w:p>
      <w:pPr>
        <w:pStyle w:val="Bibliografia"/>
      </w:pPr>
      <w:r>
        <w:t xml:space="preserve">EBA. (2021).</w:t>
      </w:r>
      <w:r>
        <w:t xml:space="preserve"> </w:t>
      </w:r>
      <w:r>
        <w:rPr>
          <w:i/>
          <w:iCs/>
        </w:rPr>
        <w:t xml:space="preserve">EBA Report</w:t>
      </w:r>
      <w:r>
        <w:rPr>
          <w:i/>
          <w:iCs/>
        </w:rPr>
        <w:t xml:space="preserve"> </w:t>
      </w:r>
      <w:r>
        <w:rPr>
          <w:i/>
          <w:iCs/>
        </w:rPr>
        <w:t xml:space="preserve">on</w:t>
      </w:r>
      <w:r>
        <w:rPr>
          <w:i/>
          <w:iCs/>
        </w:rPr>
        <w:t xml:space="preserve"> </w:t>
      </w:r>
      <w:r>
        <w:rPr>
          <w:i/>
          <w:iCs/>
        </w:rPr>
        <w:t xml:space="preserve">ESG</w:t>
      </w:r>
      <w:r>
        <w:rPr>
          <w:i/>
          <w:iCs/>
        </w:rPr>
        <w:t xml:space="preserve"> </w:t>
      </w:r>
      <w:r>
        <w:rPr>
          <w:i/>
          <w:iCs/>
        </w:rPr>
        <w:t xml:space="preserve">risks management and supervision on</w:t>
      </w:r>
      <w:r>
        <w:rPr>
          <w:i/>
          <w:iCs/>
        </w:rPr>
        <w:t xml:space="preserve"> </w:t>
      </w:r>
      <w:r>
        <w:rPr>
          <w:i/>
          <w:iCs/>
        </w:rPr>
        <w:t xml:space="preserve">ESG</w:t>
      </w:r>
      <w:r>
        <w:rPr>
          <w:i/>
          <w:iCs/>
        </w:rPr>
        <w:t xml:space="preserve"> </w:t>
      </w:r>
      <w:r>
        <w:rPr>
          <w:i/>
          <w:iCs/>
        </w:rPr>
        <w:t xml:space="preserve">risks for credit institutions and investment firms</w:t>
      </w:r>
      <w:r>
        <w:t xml:space="preserve">. Retrieved from</w:t>
      </w:r>
      <w:r>
        <w:t xml:space="preserve"> </w:t>
      </w:r>
      <w:hyperlink r:id="rId100">
        <w:r>
          <w:rPr>
            <w:rStyle w:val="Hipercze"/>
          </w:rPr>
          <w:t xml:space="preserve">https://www.eba.europa.eu/sites/default/documents/files/document_library/Publications/Reports/2021/1015656/EBA%20Report%20on%20ESG%20risks%20management%20and%20supervision.pdf</w:t>
        </w:r>
      </w:hyperlink>
    </w:p>
    <w:bookmarkEnd w:id="101"/>
    <w:bookmarkStart w:id="103" w:name="ref-ebaEBAFINALREPORT2022"/>
    <w:p>
      <w:pPr>
        <w:pStyle w:val="Bibliografia"/>
      </w:pPr>
      <w:r>
        <w:t xml:space="preserve">EBA. (2022).</w:t>
      </w:r>
      <w:r>
        <w:t xml:space="preserve"> </w:t>
      </w:r>
      <w:r>
        <w:rPr>
          <w:i/>
          <w:iCs/>
        </w:rPr>
        <w:t xml:space="preserve">EBA FINAL REPORT DRAFT ITS ON PRUDENTIAL DISCLOSURES ON ESG RISKS</w:t>
      </w:r>
      <w:r>
        <w:t xml:space="preserve">. Retrieved from</w:t>
      </w:r>
      <w:r>
        <w:t xml:space="preserve"> </w:t>
      </w:r>
      <w:hyperlink r:id="rId102">
        <w:r>
          <w:rPr>
            <w:rStyle w:val="Hipercze"/>
          </w:rPr>
          <w:t xml:space="preserve">https://www.eba.europa.eu/sites/default/documents/files/document_library/Publications/Draft%20Technical%20Standards/2022/1026171/EBA%20draft%20ITS%20on%20Pillar%203%20disclosures%20on%20ESG%20risks.pdf</w:t>
        </w:r>
      </w:hyperlink>
    </w:p>
    <w:bookmarkEnd w:id="103"/>
    <w:bookmarkStart w:id="105" w:name="X4a00ba35d8a26b5a3ad749ace25b133565c0522"/>
    <w:p>
      <w:pPr>
        <w:pStyle w:val="Bibliografia"/>
      </w:pPr>
      <w:r>
        <w:t xml:space="preserve">Firmansyah, I. (2014).</w:t>
      </w:r>
      <w:r>
        <w:t xml:space="preserve"> </w:t>
      </w:r>
      <w:r>
        <w:t xml:space="preserve">DETERMINANT OF NON PERFORMING LOAN</w:t>
      </w:r>
      <w:r>
        <w:t xml:space="preserve">:</w:t>
      </w:r>
      <w:r>
        <w:t xml:space="preserve"> </w:t>
      </w:r>
      <w:r>
        <w:t xml:space="preserve">THE CASE OF ISLAMIC BANK IN INDONESIA</w:t>
      </w:r>
      <w:r>
        <w:t xml:space="preserve">.</w:t>
      </w:r>
      <w:r>
        <w:t xml:space="preserve"> </w:t>
      </w:r>
      <w:r>
        <w:rPr>
          <w:i/>
          <w:iCs/>
        </w:rPr>
        <w:t xml:space="preserve">Bulletin of Monetary Economics and Banking</w:t>
      </w:r>
      <w:r>
        <w:t xml:space="preserve">,</w:t>
      </w:r>
      <w:r>
        <w:t xml:space="preserve"> </w:t>
      </w:r>
      <w:r>
        <w:rPr>
          <w:i/>
          <w:iCs/>
        </w:rPr>
        <w:t xml:space="preserve">17</w:t>
      </w:r>
      <w:r>
        <w:t xml:space="preserve">(2), 241–258.</w:t>
      </w:r>
      <w:r>
        <w:t xml:space="preserve"> </w:t>
      </w:r>
      <w:hyperlink r:id="rId104">
        <w:r>
          <w:rPr>
            <w:rStyle w:val="Hipercze"/>
          </w:rPr>
          <w:t xml:space="preserve">https://doi.org/10.21098/bemp.v17i2.51</w:t>
        </w:r>
      </w:hyperlink>
    </w:p>
    <w:bookmarkEnd w:id="105"/>
    <w:bookmarkStart w:id="106" w:name="X139517e22dab141cd15f1124ad8d85ddc80258c"/>
    <w:p>
      <w:pPr>
        <w:pStyle w:val="Bibliografia"/>
      </w:pPr>
      <w:r>
        <w:t xml:space="preserve">Głogowski, A. (2008). Macroeconomic determinants of</w:t>
      </w:r>
      <w:r>
        <w:t xml:space="preserve"> </w:t>
      </w:r>
      <w:r>
        <w:t xml:space="preserve">Polish</w:t>
      </w:r>
      <w:r>
        <w:t xml:space="preserve"> </w:t>
      </w:r>
      <w:r>
        <w:t xml:space="preserve">banks’ loan losses-result of a panel data study.</w:t>
      </w:r>
      <w:r>
        <w:t xml:space="preserve"> </w:t>
      </w:r>
      <w:r>
        <w:rPr>
          <w:i/>
          <w:iCs/>
        </w:rPr>
        <w:t xml:space="preserve">National Bank of Poland Working Paper</w:t>
      </w:r>
      <w:r>
        <w:t xml:space="preserve">, (53).</w:t>
      </w:r>
    </w:p>
    <w:bookmarkEnd w:id="106"/>
    <w:bookmarkStart w:id="108" w:name="ref-jiEnvironmentalSocialGovernance2023"/>
    <w:p>
      <w:pPr>
        <w:pStyle w:val="Bibliografia"/>
      </w:pPr>
      <w:r>
        <w:t xml:space="preserve">Ji, L., Sun, Y., Liu, J., &amp; Chiu, Y. (2023). Environmental, social, and governance (</w:t>
      </w:r>
      <w:r>
        <w:t xml:space="preserve">ESG</w:t>
      </w:r>
      <w:r>
        <w:t xml:space="preserve">) and market efficiency of</w:t>
      </w:r>
      <w:r>
        <w:t xml:space="preserve"> </w:t>
      </w:r>
      <w:r>
        <w:t xml:space="preserve">China</w:t>
      </w:r>
      <w:r>
        <w:t xml:space="preserve">’s commercial banks under market competition.</w:t>
      </w:r>
      <w:r>
        <w:t xml:space="preserve"> </w:t>
      </w:r>
      <w:r>
        <w:rPr>
          <w:i/>
          <w:iCs/>
        </w:rPr>
        <w:t xml:space="preserve">Environmental Science and Pollution Research</w:t>
      </w:r>
      <w:r>
        <w:t xml:space="preserve">,</w:t>
      </w:r>
      <w:r>
        <w:t xml:space="preserve"> </w:t>
      </w:r>
      <w:r>
        <w:rPr>
          <w:i/>
          <w:iCs/>
        </w:rPr>
        <w:t xml:space="preserve">30</w:t>
      </w:r>
      <w:r>
        <w:t xml:space="preserve">(9), 24533–24552.</w:t>
      </w:r>
      <w:r>
        <w:t xml:space="preserve"> </w:t>
      </w:r>
      <w:hyperlink r:id="rId107">
        <w:r>
          <w:rPr>
            <w:rStyle w:val="Hipercze"/>
          </w:rPr>
          <w:t xml:space="preserve">https://doi.org/10.1007/s11356-022-23742-x</w:t>
        </w:r>
      </w:hyperlink>
    </w:p>
    <w:bookmarkEnd w:id="108"/>
    <w:bookmarkStart w:id="110" w:name="X52a79fa32b8a35ed16d2ee768e024c104821f8d"/>
    <w:p>
      <w:pPr>
        <w:pStyle w:val="Bibliografia"/>
      </w:pPr>
      <w:r>
        <w:t xml:space="preserve">Khan, M., Serafeim, G., &amp; Yoon, A. (2016, November 9). Corporate</w:t>
      </w:r>
      <w:r>
        <w:t xml:space="preserve"> </w:t>
      </w:r>
      <w:r>
        <w:t xml:space="preserve">Sustainability</w:t>
      </w:r>
      <w:r>
        <w:t xml:space="preserve">:</w:t>
      </w:r>
      <w:r>
        <w:t xml:space="preserve"> </w:t>
      </w:r>
      <w:r>
        <w:t xml:space="preserve">First Evidence</w:t>
      </w:r>
      <w:r>
        <w:t xml:space="preserve"> </w:t>
      </w:r>
      <w:r>
        <w:t xml:space="preserve">on</w:t>
      </w:r>
      <w:r>
        <w:t xml:space="preserve"> </w:t>
      </w:r>
      <w:r>
        <w:t xml:space="preserve">Materiality</w:t>
      </w:r>
      <w:r>
        <w:t xml:space="preserve"> </w:t>
      </w:r>
      <w:r>
        <w:t xml:space="preserve">[SSRN Scholarly Paper].</w:t>
      </w:r>
      <w:r>
        <w:t xml:space="preserve"> </w:t>
      </w:r>
      <w:hyperlink r:id="rId109">
        <w:r>
          <w:rPr>
            <w:rStyle w:val="Hipercze"/>
          </w:rPr>
          <w:t xml:space="preserve">https://doi.org/10.2139/ssrn.2575912</w:t>
        </w:r>
      </w:hyperlink>
    </w:p>
    <w:bookmarkEnd w:id="110"/>
    <w:bookmarkStart w:id="112" w:name="X2220659ffd166fa92ef0ac621aa833e71ab6e59"/>
    <w:p>
      <w:pPr>
        <w:pStyle w:val="Bibliografia"/>
      </w:pPr>
      <w:r>
        <w:t xml:space="preserve">Kjosevski, J., &amp; Petkovski, M. (2017). Non-performing loans in</w:t>
      </w:r>
      <w:r>
        <w:t xml:space="preserve"> </w:t>
      </w:r>
      <w:r>
        <w:t xml:space="preserve">Baltic States</w:t>
      </w:r>
      <w:r>
        <w:t xml:space="preserve">: Determinants and macroeconomic effects.</w:t>
      </w:r>
      <w:r>
        <w:t xml:space="preserve"> </w:t>
      </w:r>
      <w:r>
        <w:rPr>
          <w:i/>
          <w:iCs/>
        </w:rPr>
        <w:t xml:space="preserve">Baltic Journal of Economics</w:t>
      </w:r>
      <w:r>
        <w:t xml:space="preserve">,</w:t>
      </w:r>
      <w:r>
        <w:t xml:space="preserve"> </w:t>
      </w:r>
      <w:r>
        <w:rPr>
          <w:i/>
          <w:iCs/>
        </w:rPr>
        <w:t xml:space="preserve">17</w:t>
      </w:r>
      <w:r>
        <w:t xml:space="preserve">(1), 25–44. Retrieved from</w:t>
      </w:r>
      <w:r>
        <w:t xml:space="preserve"> </w:t>
      </w:r>
      <w:hyperlink r:id="rId111">
        <w:r>
          <w:rPr>
            <w:rStyle w:val="Hipercze"/>
          </w:rPr>
          <w:t xml:space="preserve">https://ideas.repec.org//a/bic/journl/v17y2017i1p25-44.html</w:t>
        </w:r>
      </w:hyperlink>
    </w:p>
    <w:bookmarkEnd w:id="112"/>
    <w:bookmarkStart w:id="113" w:name="ref-kleinNonPerformingLoansCESEE2013"/>
    <w:p>
      <w:pPr>
        <w:pStyle w:val="Bibliografia"/>
      </w:pPr>
      <w:r>
        <w:t xml:space="preserve">Klein, N. (2013).</w:t>
      </w:r>
      <w:r>
        <w:t xml:space="preserve"> </w:t>
      </w:r>
      <w:r>
        <w:rPr>
          <w:i/>
          <w:iCs/>
        </w:rPr>
        <w:t xml:space="preserve">Non-</w:t>
      </w:r>
      <w:r>
        <w:rPr>
          <w:i/>
          <w:iCs/>
        </w:rPr>
        <w:t xml:space="preserve">Performing Loans</w:t>
      </w:r>
      <w:r>
        <w:rPr>
          <w:i/>
          <w:iCs/>
        </w:rPr>
        <w:t xml:space="preserve"> </w:t>
      </w:r>
      <w:r>
        <w:rPr>
          <w:i/>
          <w:iCs/>
        </w:rPr>
        <w:t xml:space="preserve">in</w:t>
      </w:r>
      <w:r>
        <w:rPr>
          <w:i/>
          <w:iCs/>
        </w:rPr>
        <w:t xml:space="preserve"> </w:t>
      </w:r>
      <w:r>
        <w:rPr>
          <w:i/>
          <w:iCs/>
        </w:rPr>
        <w:t xml:space="preserve">CESEE</w:t>
      </w:r>
      <w:r>
        <w:rPr>
          <w:i/>
          <w:iCs/>
        </w:rPr>
        <w:t xml:space="preserve">:</w:t>
      </w:r>
      <w:r>
        <w:rPr>
          <w:i/>
          <w:iCs/>
        </w:rPr>
        <w:t xml:space="preserve"> </w:t>
      </w:r>
      <w:r>
        <w:rPr>
          <w:i/>
          <w:iCs/>
        </w:rPr>
        <w:t xml:space="preserve">Determinants</w:t>
      </w:r>
      <w:r>
        <w:rPr>
          <w:i/>
          <w:iCs/>
        </w:rPr>
        <w:t xml:space="preserve"> </w:t>
      </w:r>
      <w:r>
        <w:rPr>
          <w:i/>
          <w:iCs/>
        </w:rPr>
        <w:t xml:space="preserve">and</w:t>
      </w:r>
      <w:r>
        <w:rPr>
          <w:i/>
          <w:iCs/>
        </w:rPr>
        <w:t xml:space="preserve"> </w:t>
      </w:r>
      <w:r>
        <w:rPr>
          <w:i/>
          <w:iCs/>
        </w:rPr>
        <w:t xml:space="preserve">Impact</w:t>
      </w:r>
      <w:r>
        <w:rPr>
          <w:i/>
          <w:iCs/>
        </w:rPr>
        <w:t xml:space="preserve"> </w:t>
      </w:r>
      <w:r>
        <w:rPr>
          <w:i/>
          <w:iCs/>
        </w:rPr>
        <w:t xml:space="preserve">on</w:t>
      </w:r>
      <w:r>
        <w:rPr>
          <w:i/>
          <w:iCs/>
        </w:rPr>
        <w:t xml:space="preserve"> </w:t>
      </w:r>
      <w:r>
        <w:rPr>
          <w:i/>
          <w:iCs/>
        </w:rPr>
        <w:t xml:space="preserve">Macroeconomic Performance</w:t>
      </w:r>
      <w:r>
        <w:t xml:space="preserve">.</w:t>
      </w:r>
    </w:p>
    <w:bookmarkEnd w:id="113"/>
    <w:bookmarkStart w:id="115" w:name="ref-komathImpactCorporateGovernance2023"/>
    <w:p>
      <w:pPr>
        <w:pStyle w:val="Bibliografia"/>
      </w:pPr>
      <w:r>
        <w:t xml:space="preserve">Komath, M. A. C., Doğan, M., &amp; Sayılır, Ö. (2023). Impact of corporate governance and related controversies on the market value of banks.</w:t>
      </w:r>
      <w:r>
        <w:t xml:space="preserve"> </w:t>
      </w:r>
      <w:r>
        <w:rPr>
          <w:i/>
          <w:iCs/>
        </w:rPr>
        <w:t xml:space="preserve">Research in International Business and Finance</w:t>
      </w:r>
      <w:r>
        <w:t xml:space="preserve">,</w:t>
      </w:r>
      <w:r>
        <w:t xml:space="preserve"> </w:t>
      </w:r>
      <w:r>
        <w:rPr>
          <w:i/>
          <w:iCs/>
        </w:rPr>
        <w:t xml:space="preserve">65</w:t>
      </w:r>
      <w:r>
        <w:t xml:space="preserve">, 101985.</w:t>
      </w:r>
      <w:r>
        <w:t xml:space="preserve"> </w:t>
      </w:r>
      <w:hyperlink r:id="rId114">
        <w:r>
          <w:rPr>
            <w:rStyle w:val="Hipercze"/>
          </w:rPr>
          <w:t xml:space="preserve">https://doi.org/10.1016/j.ribaf.2023.101985</w:t>
        </w:r>
      </w:hyperlink>
    </w:p>
    <w:bookmarkEnd w:id="115"/>
    <w:bookmarkStart w:id="117" w:name="ref-liuDoesESGPerformance2023"/>
    <w:p>
      <w:pPr>
        <w:pStyle w:val="Bibliografia"/>
      </w:pPr>
      <w:r>
        <w:t xml:space="preserve">Liu, S., Jin, J., &amp; Nainar, K. (2023). Does</w:t>
      </w:r>
      <w:r>
        <w:t xml:space="preserve"> </w:t>
      </w:r>
      <w:r>
        <w:t xml:space="preserve">ESG</w:t>
      </w:r>
      <w:r>
        <w:t xml:space="preserve"> </w:t>
      </w:r>
      <w:r>
        <w:t xml:space="preserve">performance reduce banks’ nonperforming loans?</w:t>
      </w:r>
      <w:r>
        <w:t xml:space="preserve"> </w:t>
      </w:r>
      <w:r>
        <w:rPr>
          <w:i/>
          <w:iCs/>
        </w:rPr>
        <w:t xml:space="preserve">Finance Research Letters</w:t>
      </w:r>
      <w:r>
        <w:t xml:space="preserve">,</w:t>
      </w:r>
      <w:r>
        <w:t xml:space="preserve"> </w:t>
      </w:r>
      <w:r>
        <w:rPr>
          <w:i/>
          <w:iCs/>
        </w:rPr>
        <w:t xml:space="preserve">55</w:t>
      </w:r>
      <w:r>
        <w:t xml:space="preserve">, 103859.</w:t>
      </w:r>
      <w:r>
        <w:t xml:space="preserve"> </w:t>
      </w:r>
      <w:hyperlink r:id="rId116">
        <w:r>
          <w:rPr>
            <w:rStyle w:val="Hipercze"/>
          </w:rPr>
          <w:t xml:space="preserve">https://doi.org/10.1016/j.frl.2023.103859</w:t>
        </w:r>
      </w:hyperlink>
    </w:p>
    <w:bookmarkEnd w:id="117"/>
    <w:bookmarkStart w:id="119" w:name="X99a378e26c4ca95f18d01dd5b812a3e3ed37303"/>
    <w:p>
      <w:pPr>
        <w:pStyle w:val="Bibliografia"/>
      </w:pPr>
      <w:r>
        <w:t xml:space="preserve">Makri, V., Tsagkanos, A., &amp; Bellas, A. (2014). Determinants of non-performing loans:</w:t>
      </w:r>
      <w:r>
        <w:t xml:space="preserve"> </w:t>
      </w:r>
      <w:r>
        <w:t xml:space="preserve">The</w:t>
      </w:r>
      <w:r>
        <w:t xml:space="preserve"> </w:t>
      </w:r>
      <w:r>
        <w:t xml:space="preserve">case of</w:t>
      </w:r>
      <w:r>
        <w:t xml:space="preserve"> </w:t>
      </w:r>
      <w:r>
        <w:t xml:space="preserve">Eurozone</w:t>
      </w:r>
      <w:r>
        <w:t xml:space="preserve">.</w:t>
      </w:r>
      <w:r>
        <w:t xml:space="preserve"> </w:t>
      </w:r>
      <w:r>
        <w:rPr>
          <w:i/>
          <w:iCs/>
        </w:rPr>
        <w:t xml:space="preserve">Panoeconomicus</w:t>
      </w:r>
      <w:r>
        <w:t xml:space="preserve">,</w:t>
      </w:r>
      <w:r>
        <w:t xml:space="preserve"> </w:t>
      </w:r>
      <w:r>
        <w:rPr>
          <w:i/>
          <w:iCs/>
        </w:rPr>
        <w:t xml:space="preserve">61</w:t>
      </w:r>
      <w:r>
        <w:t xml:space="preserve">(2), 193–206.</w:t>
      </w:r>
      <w:r>
        <w:t xml:space="preserve"> </w:t>
      </w:r>
      <w:hyperlink r:id="rId118">
        <w:r>
          <w:rPr>
            <w:rStyle w:val="Hipercze"/>
          </w:rPr>
          <w:t xml:space="preserve">https://doi.org/10.2298/PAN1402193M</w:t>
        </w:r>
      </w:hyperlink>
    </w:p>
    <w:bookmarkEnd w:id="119"/>
    <w:bookmarkStart w:id="121" w:name="ref-messaiMicroMacroDeterminants2013"/>
    <w:p>
      <w:pPr>
        <w:pStyle w:val="Bibliografia"/>
      </w:pPr>
      <w:r>
        <w:t xml:space="preserve">Messai, A. S., &amp; Jouini, F. (2013). Micro and</w:t>
      </w:r>
      <w:r>
        <w:t xml:space="preserve"> </w:t>
      </w:r>
      <w:r>
        <w:t xml:space="preserve">Macro Determinants</w:t>
      </w:r>
      <w:r>
        <w:t xml:space="preserve"> </w:t>
      </w:r>
      <w:r>
        <w:t xml:space="preserve">of</w:t>
      </w:r>
      <w:r>
        <w:t xml:space="preserve"> </w:t>
      </w:r>
      <w:r>
        <w:t xml:space="preserve">Non-performing Loans</w:t>
      </w:r>
      <w:r>
        <w:t xml:space="preserve">.</w:t>
      </w:r>
      <w:r>
        <w:t xml:space="preserve"> </w:t>
      </w:r>
      <w:r>
        <w:rPr>
          <w:i/>
          <w:iCs/>
        </w:rPr>
        <w:t xml:space="preserve">International Journal of Economics and Financial Issues</w:t>
      </w:r>
      <w:r>
        <w:t xml:space="preserve">,</w:t>
      </w:r>
      <w:r>
        <w:t xml:space="preserve"> </w:t>
      </w:r>
      <w:r>
        <w:rPr>
          <w:i/>
          <w:iCs/>
        </w:rPr>
        <w:t xml:space="preserve">3</w:t>
      </w:r>
      <w:r>
        <w:t xml:space="preserve">(4, 4), 852–860. Retrieved from</w:t>
      </w:r>
      <w:r>
        <w:t xml:space="preserve"> </w:t>
      </w:r>
      <w:hyperlink r:id="rId120">
        <w:r>
          <w:rPr>
            <w:rStyle w:val="Hipercze"/>
          </w:rPr>
          <w:t xml:space="preserve">https://www.econjournals.com/index.php/ijefi/article/view/517</w:t>
        </w:r>
      </w:hyperlink>
    </w:p>
    <w:bookmarkEnd w:id="121"/>
    <w:bookmarkStart w:id="123" w:name="ref-murumbaRelationshipRealGDP2013"/>
    <w:p>
      <w:pPr>
        <w:pStyle w:val="Bibliografia"/>
      </w:pPr>
      <w:r>
        <w:t xml:space="preserve">Murumba, I. (2013). The</w:t>
      </w:r>
      <w:r>
        <w:t xml:space="preserve"> </w:t>
      </w:r>
      <w:r>
        <w:t xml:space="preserve">Relationship</w:t>
      </w:r>
      <w:r>
        <w:t xml:space="preserve"> </w:t>
      </w:r>
      <w:r>
        <w:t xml:space="preserve">between</w:t>
      </w:r>
      <w:r>
        <w:t xml:space="preserve"> </w:t>
      </w:r>
      <w:r>
        <w:t xml:space="preserve">Real GDP</w:t>
      </w:r>
      <w:r>
        <w:t xml:space="preserve"> </w:t>
      </w:r>
      <w:r>
        <w:t xml:space="preserve">and</w:t>
      </w:r>
      <w:r>
        <w:t xml:space="preserve"> </w:t>
      </w:r>
      <w:r>
        <w:t xml:space="preserve">Non-performing Loans</w:t>
      </w:r>
      <w:r>
        <w:t xml:space="preserve">:</w:t>
      </w:r>
      <w:r>
        <w:t xml:space="preserve"> </w:t>
      </w:r>
      <w:r>
        <w:t xml:space="preserve">Evidence</w:t>
      </w:r>
      <w:r>
        <w:t xml:space="preserve"> </w:t>
      </w:r>
      <w:r>
        <w:t xml:space="preserve">from</w:t>
      </w:r>
      <w:r>
        <w:t xml:space="preserve"> </w:t>
      </w:r>
      <w:r>
        <w:t xml:space="preserve">Nigeria</w:t>
      </w:r>
      <w:r>
        <w:t xml:space="preserve"> </w:t>
      </w:r>
      <w:r>
        <w:t xml:space="preserve">(1995 – 2009).</w:t>
      </w:r>
      <w:r>
        <w:t xml:space="preserve"> </w:t>
      </w:r>
      <w:r>
        <w:rPr>
          <w:i/>
          <w:iCs/>
        </w:rPr>
        <w:t xml:space="preserve">INTERNATIONAL JOURNAL OF CAPACITY BUILDING IN EDUCATION AND MANAGEMENT</w:t>
      </w:r>
      <w:r>
        <w:t xml:space="preserve">,</w:t>
      </w:r>
      <w:r>
        <w:t xml:space="preserve"> </w:t>
      </w:r>
      <w:r>
        <w:rPr>
          <w:i/>
          <w:iCs/>
        </w:rPr>
        <w:t xml:space="preserve">2</w:t>
      </w:r>
      <w:r>
        <w:t xml:space="preserve">(1, 1), 1–7. Retrieved from</w:t>
      </w:r>
      <w:r>
        <w:t xml:space="preserve"> </w:t>
      </w:r>
      <w:hyperlink r:id="rId122">
        <w:r>
          <w:rPr>
            <w:rStyle w:val="Hipercze"/>
          </w:rPr>
          <w:t xml:space="preserve">https://journals.rcmss.com/index.php/ijcbem/article/view/195</w:t>
        </w:r>
      </w:hyperlink>
    </w:p>
    <w:bookmarkEnd w:id="123"/>
    <w:bookmarkStart w:id="125" w:name="ref-oecdG20OECDPrinciples2023"/>
    <w:p>
      <w:pPr>
        <w:pStyle w:val="Bibliografia"/>
      </w:pPr>
      <w:r>
        <w:t xml:space="preserve">OECD. (2023, September 11). G20/</w:t>
      </w:r>
      <w:r>
        <w:t xml:space="preserve">OECD Principles</w:t>
      </w:r>
      <w:r>
        <w:t xml:space="preserve"> </w:t>
      </w:r>
      <w:r>
        <w:t xml:space="preserve">of</w:t>
      </w:r>
      <w:r>
        <w:t xml:space="preserve"> </w:t>
      </w:r>
      <w:r>
        <w:t xml:space="preserve">Corporate Governance</w:t>
      </w:r>
      <w:r>
        <w:t xml:space="preserve"> </w:t>
      </w:r>
      <w:r>
        <w:t xml:space="preserve">2023. Retrieved 18 July 2024, from</w:t>
      </w:r>
      <w:r>
        <w:t xml:space="preserve"> </w:t>
      </w:r>
      <w:hyperlink r:id="rId124">
        <w:r>
          <w:rPr>
            <w:rStyle w:val="Hipercze"/>
          </w:rPr>
          <w:t xml:space="preserve">https://www.oecd.org/en/publications/2023/09/g20-oecd-principles-of-corporate-governance-2023_60836fcb.html</w:t>
        </w:r>
      </w:hyperlink>
    </w:p>
    <w:bookmarkEnd w:id="125"/>
    <w:bookmarkStart w:id="127" w:name="ref-oziliNonperformingLoansFinancial2019"/>
    <w:p>
      <w:pPr>
        <w:pStyle w:val="Bibliografia"/>
      </w:pPr>
      <w:r>
        <w:t xml:space="preserve">Ozili, P. K. (2019). Non-performing loans and financial development: New evidence.</w:t>
      </w:r>
      <w:r>
        <w:t xml:space="preserve"> </w:t>
      </w:r>
      <w:r>
        <w:rPr>
          <w:i/>
          <w:iCs/>
        </w:rPr>
        <w:t xml:space="preserve">The Journal of Risk Finance</w:t>
      </w:r>
      <w:r>
        <w:t xml:space="preserve">,</w:t>
      </w:r>
      <w:r>
        <w:t xml:space="preserve"> </w:t>
      </w:r>
      <w:r>
        <w:rPr>
          <w:i/>
          <w:iCs/>
        </w:rPr>
        <w:t xml:space="preserve">20</w:t>
      </w:r>
      <w:r>
        <w:t xml:space="preserve">(1), 59–81.</w:t>
      </w:r>
      <w:r>
        <w:t xml:space="preserve"> </w:t>
      </w:r>
      <w:hyperlink r:id="rId126">
        <w:r>
          <w:rPr>
            <w:rStyle w:val="Hipercze"/>
          </w:rPr>
          <w:t xml:space="preserve">https://doi.org/10.1108/JRF-07-2017-0112</w:t>
        </w:r>
      </w:hyperlink>
    </w:p>
    <w:bookmarkEnd w:id="127"/>
    <w:bookmarkStart w:id="129" w:name="ref-petkovskiMacroBankSpecific2021"/>
    <w:p>
      <w:pPr>
        <w:pStyle w:val="Bibliografia"/>
      </w:pPr>
      <w:r>
        <w:t xml:space="preserve">Petkovski, M., Kjosevski, J., &amp; Jovanovski, K. (2021). Macro and bank specific determinants of nonperforming loans in polish commercial banks.</w:t>
      </w:r>
      <w:r>
        <w:t xml:space="preserve"> </w:t>
      </w:r>
      <w:r>
        <w:rPr>
          <w:i/>
          <w:iCs/>
        </w:rPr>
        <w:t xml:space="preserve">Uniwersytet Ekonomiczny We Wrocławiu</w:t>
      </w:r>
      <w:r>
        <w:t xml:space="preserve">.</w:t>
      </w:r>
      <w:r>
        <w:t xml:space="preserve"> </w:t>
      </w:r>
      <w:hyperlink r:id="rId128">
        <w:r>
          <w:rPr>
            <w:rStyle w:val="Hipercze"/>
          </w:rPr>
          <w:t xml:space="preserve">https://doi.org/10.15611/aoe.2021.2.06</w:t>
        </w:r>
      </w:hyperlink>
    </w:p>
    <w:bookmarkEnd w:id="129"/>
    <w:bookmarkStart w:id="131" w:name="Xffbd571dedc54e6b8ccf808bd45a4dabd11c186"/>
    <w:p>
      <w:pPr>
        <w:pStyle w:val="Bibliografia"/>
      </w:pPr>
      <w:r>
        <w:t xml:space="preserve">Radivojević, N., Cvijanović, D., Sekulic, D., Pavlovic, D., Jovic, S., &amp; Maksimović, G. (2019). Econometric model of non-performing loans determinants.</w:t>
      </w:r>
      <w:r>
        <w:t xml:space="preserve"> </w:t>
      </w:r>
      <w:r>
        <w:rPr>
          <w:i/>
          <w:iCs/>
        </w:rPr>
        <w:t xml:space="preserve">Physica A: Statistical Mechanics and Its Applications</w:t>
      </w:r>
      <w:r>
        <w:t xml:space="preserve">,</w:t>
      </w:r>
      <w:r>
        <w:t xml:space="preserve"> </w:t>
      </w:r>
      <w:r>
        <w:rPr>
          <w:i/>
          <w:iCs/>
        </w:rPr>
        <w:t xml:space="preserve">520</w:t>
      </w:r>
      <w:r>
        <w:t xml:space="preserve">(C), 481–488. Retrieved from</w:t>
      </w:r>
      <w:r>
        <w:t xml:space="preserve"> </w:t>
      </w:r>
      <w:hyperlink r:id="rId130">
        <w:r>
          <w:rPr>
            <w:rStyle w:val="Hipercze"/>
          </w:rPr>
          <w:t xml:space="preserve">https://ideas.repec.org//a/eee/phsmap/v520y2019icp481-488.html</w:t>
        </w:r>
      </w:hyperlink>
    </w:p>
    <w:bookmarkEnd w:id="131"/>
    <w:bookmarkStart w:id="133" w:name="X068829233a89ea81b9ef64641b03054e61aebdd"/>
    <w:p>
      <w:pPr>
        <w:pStyle w:val="Bibliografia"/>
      </w:pPr>
      <w:r>
        <w:t xml:space="preserve">Sindhu, M. I., Windijarto, Wong, W.-K., &amp; Maswadi, L. (2024). Implications of corporate social responsibility on the financial and non-financial performance of the banking sector:</w:t>
      </w:r>
      <w:r>
        <w:t xml:space="preserve"> </w:t>
      </w:r>
      <w:r>
        <w:t xml:space="preserve">A</w:t>
      </w:r>
      <w:r>
        <w:t xml:space="preserve"> </w:t>
      </w:r>
      <w:r>
        <w:t xml:space="preserve">moderated and mediated mechanism.</w:t>
      </w:r>
      <w:r>
        <w:t xml:space="preserve"> </w:t>
      </w:r>
      <w:r>
        <w:rPr>
          <w:i/>
          <w:iCs/>
        </w:rPr>
        <w:t xml:space="preserve">Heliyon</w:t>
      </w:r>
      <w:r>
        <w:t xml:space="preserve">,</w:t>
      </w:r>
      <w:r>
        <w:t xml:space="preserve"> </w:t>
      </w:r>
      <w:r>
        <w:rPr>
          <w:i/>
          <w:iCs/>
        </w:rPr>
        <w:t xml:space="preserve">10</w:t>
      </w:r>
      <w:r>
        <w:t xml:space="preserve">(9), e30557.</w:t>
      </w:r>
      <w:r>
        <w:t xml:space="preserve"> </w:t>
      </w:r>
      <w:hyperlink r:id="rId132">
        <w:r>
          <w:rPr>
            <w:rStyle w:val="Hipercze"/>
          </w:rPr>
          <w:t xml:space="preserve">https://doi.org/10.1016/j.heliyon.2024.e30557</w:t>
        </w:r>
      </w:hyperlink>
    </w:p>
    <w:bookmarkEnd w:id="133"/>
    <w:bookmarkStart w:id="135" w:name="ref-tommasoESGScoresEffect2020"/>
    <w:p>
      <w:pPr>
        <w:pStyle w:val="Bibliografia"/>
      </w:pPr>
      <w:r>
        <w:t xml:space="preserve">Tommaso, C. D., &amp; Thornton, J. (2020). Do</w:t>
      </w:r>
      <w:r>
        <w:t xml:space="preserve"> </w:t>
      </w:r>
      <w:r>
        <w:t xml:space="preserve">ESG</w:t>
      </w:r>
      <w:r>
        <w:t xml:space="preserve"> </w:t>
      </w:r>
      <w:r>
        <w:t xml:space="preserve">scores effect bank risk taking and value?</w:t>
      </w:r>
      <w:r>
        <w:t xml:space="preserve"> </w:t>
      </w:r>
      <w:r>
        <w:t xml:space="preserve">Evidence</w:t>
      </w:r>
      <w:r>
        <w:t xml:space="preserve"> </w:t>
      </w:r>
      <w:r>
        <w:t xml:space="preserve">from</w:t>
      </w:r>
      <w:r>
        <w:t xml:space="preserve"> </w:t>
      </w:r>
      <w:r>
        <w:t xml:space="preserve">European</w:t>
      </w:r>
      <w:r>
        <w:t xml:space="preserve"> </w:t>
      </w:r>
      <w:r>
        <w:t xml:space="preserve">banks.</w:t>
      </w:r>
      <w:r>
        <w:t xml:space="preserve"> </w:t>
      </w:r>
      <w:r>
        <w:rPr>
          <w:i/>
          <w:iCs/>
        </w:rPr>
        <w:t xml:space="preserve">Corporate Social Responsibility and Environmental Management</w:t>
      </w:r>
      <w:r>
        <w:t xml:space="preserve">,</w:t>
      </w:r>
      <w:r>
        <w:t xml:space="preserve"> </w:t>
      </w:r>
      <w:r>
        <w:rPr>
          <w:i/>
          <w:iCs/>
        </w:rPr>
        <w:t xml:space="preserve">27</w:t>
      </w:r>
      <w:r>
        <w:t xml:space="preserve">(5), 2286–2298.</w:t>
      </w:r>
      <w:r>
        <w:t xml:space="preserve"> </w:t>
      </w:r>
      <w:hyperlink r:id="rId134">
        <w:r>
          <w:rPr>
            <w:rStyle w:val="Hipercze"/>
          </w:rPr>
          <w:t xml:space="preserve">https://doi.org/10.1002/csr.1964</w:t>
        </w:r>
      </w:hyperlink>
    </w:p>
    <w:bookmarkEnd w:id="135"/>
    <w:bookmarkStart w:id="137" w:name="X50dfe71ebec7130e36e54312a1e25885804fe8b"/>
    <w:p>
      <w:pPr>
        <w:pStyle w:val="Bibliografia"/>
      </w:pPr>
      <w:r>
        <w:t xml:space="preserve">Wairimu, M. M., &amp; Gitundu, E. W. (2017). Macroeconomic</w:t>
      </w:r>
      <w:r>
        <w:t xml:space="preserve"> </w:t>
      </w:r>
      <w:r>
        <w:t xml:space="preserve">Determinants</w:t>
      </w:r>
      <w:r>
        <w:t xml:space="preserve"> </w:t>
      </w:r>
      <w:r>
        <w:t xml:space="preserve">of</w:t>
      </w:r>
      <w:r>
        <w:t xml:space="preserve"> </w:t>
      </w:r>
      <w:r>
        <w:t xml:space="preserve">Non-Performing Loans</w:t>
      </w:r>
      <w:r>
        <w:t xml:space="preserve"> </w:t>
      </w:r>
      <w:r>
        <w:t xml:space="preserve">in</w:t>
      </w:r>
      <w:r>
        <w:t xml:space="preserve"> </w:t>
      </w:r>
      <w:r>
        <w:t xml:space="preserve">Kenya</w:t>
      </w:r>
      <w:r>
        <w:t xml:space="preserve">: 1998-2015.</w:t>
      </w:r>
      <w:r>
        <w:t xml:space="preserve"> </w:t>
      </w:r>
      <w:r>
        <w:rPr>
          <w:i/>
          <w:iCs/>
        </w:rPr>
        <w:t xml:space="preserve">Research Journal of Finance and Accounting</w:t>
      </w:r>
      <w:r>
        <w:t xml:space="preserve">,</w:t>
      </w:r>
      <w:r>
        <w:t xml:space="preserve"> </w:t>
      </w:r>
      <w:r>
        <w:rPr>
          <w:i/>
          <w:iCs/>
        </w:rPr>
        <w:t xml:space="preserve">8</w:t>
      </w:r>
      <w:r>
        <w:t xml:space="preserve">(4), 97. Retrieved from</w:t>
      </w:r>
      <w:r>
        <w:t xml:space="preserve"> </w:t>
      </w:r>
      <w:hyperlink r:id="rId136">
        <w:r>
          <w:rPr>
            <w:rStyle w:val="Hipercze"/>
          </w:rPr>
          <w:t xml:space="preserve">https://www.iiste.org/Journals/index.php/RJFA/article/view/35707</w:t>
        </w:r>
      </w:hyperlink>
    </w:p>
    <w:bookmarkEnd w:id="137"/>
    <w:bookmarkStart w:id="139" w:name="ref-wanNonperformingLoansHousing2018"/>
    <w:p>
      <w:pPr>
        <w:pStyle w:val="Bibliografia"/>
      </w:pPr>
      <w:r>
        <w:t xml:space="preserve">Wan, J. (2018). Non-performing loans and housing prices in</w:t>
      </w:r>
      <w:r>
        <w:t xml:space="preserve"> </w:t>
      </w:r>
      <w:r>
        <w:t xml:space="preserve">China</w:t>
      </w:r>
      <w:r>
        <w:t xml:space="preserve">.</w:t>
      </w:r>
      <w:r>
        <w:t xml:space="preserve"> </w:t>
      </w:r>
      <w:r>
        <w:rPr>
          <w:i/>
          <w:iCs/>
        </w:rPr>
        <w:t xml:space="preserve">International Review of Economics &amp; Finance</w:t>
      </w:r>
      <w:r>
        <w:t xml:space="preserve">,</w:t>
      </w:r>
      <w:r>
        <w:t xml:space="preserve"> </w:t>
      </w:r>
      <w:r>
        <w:rPr>
          <w:i/>
          <w:iCs/>
        </w:rPr>
        <w:t xml:space="preserve">57</w:t>
      </w:r>
      <w:r>
        <w:t xml:space="preserve">, 26–42.</w:t>
      </w:r>
      <w:r>
        <w:t xml:space="preserve"> </w:t>
      </w:r>
      <w:hyperlink r:id="rId138">
        <w:r>
          <w:rPr>
            <w:rStyle w:val="Hipercze"/>
          </w:rPr>
          <w:t xml:space="preserve">https://doi.org/10.1016/j.iref.2018.02.011</w:t>
        </w:r>
      </w:hyperlink>
    </w:p>
    <w:bookmarkEnd w:id="139"/>
    <w:bookmarkStart w:id="141" w:name="ref-wdowinskiMacroeconomicCreditRisk2014"/>
    <w:p>
      <w:pPr>
        <w:pStyle w:val="Bibliografia"/>
      </w:pPr>
      <w:r>
        <w:t xml:space="preserve">Wdowiński, P. (2014). Macroeconomic Credit Risk Factors in Poland’s Banking Sector.</w:t>
      </w:r>
      <w:r>
        <w:t xml:space="preserve"> </w:t>
      </w:r>
      <w:r>
        <w:rPr>
          <w:i/>
          <w:iCs/>
        </w:rPr>
        <w:t xml:space="preserve">Gospodarka Narodowa. The Polish Journal of Economics</w:t>
      </w:r>
      <w:r>
        <w:t xml:space="preserve">,</w:t>
      </w:r>
      <w:r>
        <w:t xml:space="preserve"> </w:t>
      </w:r>
      <w:r>
        <w:rPr>
          <w:i/>
          <w:iCs/>
        </w:rPr>
        <w:t xml:space="preserve">272</w:t>
      </w:r>
      <w:r>
        <w:t xml:space="preserve">(4), 55–77.</w:t>
      </w:r>
      <w:r>
        <w:t xml:space="preserve"> </w:t>
      </w:r>
      <w:hyperlink r:id="rId140">
        <w:r>
          <w:rPr>
            <w:rStyle w:val="Hipercze"/>
          </w:rPr>
          <w:t xml:space="preserve">https://doi.org/10.33119/GN/100880</w:t>
        </w:r>
      </w:hyperlink>
    </w:p>
    <w:bookmarkEnd w:id="141"/>
    <w:bookmarkStart w:id="143" w:name="ref-wuCorporateSocialResponsibility2013"/>
    <w:p>
      <w:pPr>
        <w:pStyle w:val="Bibliografia"/>
      </w:pPr>
      <w:r>
        <w:t xml:space="preserve">Wu, M.-W., &amp; Shen, C.-H. (2013). Corporate social responsibility in the banking industry:</w:t>
      </w:r>
      <w:r>
        <w:t xml:space="preserve"> </w:t>
      </w:r>
      <w:r>
        <w:t xml:space="preserve">Motives</w:t>
      </w:r>
      <w:r>
        <w:t xml:space="preserve"> </w:t>
      </w:r>
      <w:r>
        <w:t xml:space="preserve">and financial performance.</w:t>
      </w:r>
      <w:r>
        <w:t xml:space="preserve"> </w:t>
      </w:r>
      <w:r>
        <w:rPr>
          <w:i/>
          <w:iCs/>
        </w:rPr>
        <w:t xml:space="preserve">Journal of Banking &amp; Finance</w:t>
      </w:r>
      <w:r>
        <w:t xml:space="preserve">,</w:t>
      </w:r>
      <w:r>
        <w:t xml:space="preserve"> </w:t>
      </w:r>
      <w:r>
        <w:rPr>
          <w:i/>
          <w:iCs/>
        </w:rPr>
        <w:t xml:space="preserve">37</w:t>
      </w:r>
      <w:r>
        <w:t xml:space="preserve">(9), 3529–3547.</w:t>
      </w:r>
      <w:r>
        <w:t xml:space="preserve"> </w:t>
      </w:r>
      <w:hyperlink r:id="rId142">
        <w:r>
          <w:rPr>
            <w:rStyle w:val="Hipercze"/>
          </w:rPr>
          <w:t xml:space="preserve">https://doi.org/10.1016/j.jbankfin.2013.04.023</w:t>
        </w:r>
      </w:hyperlink>
    </w:p>
    <w:bookmarkEnd w:id="143"/>
    <w:bookmarkStart w:id="145" w:name="ref-yuenEnvironmentSocialGovernance2022"/>
    <w:p>
      <w:pPr>
        <w:pStyle w:val="Bibliografia"/>
      </w:pPr>
      <w:r>
        <w:t xml:space="preserve">Yuen, M. K., Ngo, T., Le, T. D. Q., &amp; Ho, T. H. (2022). The environment, social and governance (</w:t>
      </w:r>
      <w:r>
        <w:t xml:space="preserve">ESG</w:t>
      </w:r>
      <w:r>
        <w:t xml:space="preserve">) activities and profitability under</w:t>
      </w:r>
      <w:r>
        <w:t xml:space="preserve"> </w:t>
      </w:r>
      <w:r>
        <w:t xml:space="preserve">COVID-19</w:t>
      </w:r>
      <w:r>
        <w:t xml:space="preserve">: Evidence from the global banking sector.</w:t>
      </w:r>
      <w:r>
        <w:t xml:space="preserve"> </w:t>
      </w:r>
      <w:r>
        <w:rPr>
          <w:i/>
          <w:iCs/>
        </w:rPr>
        <w:t xml:space="preserve">Journal of Economics and Development</w:t>
      </w:r>
      <w:r>
        <w:t xml:space="preserve">,</w:t>
      </w:r>
      <w:r>
        <w:t xml:space="preserve"> </w:t>
      </w:r>
      <w:r>
        <w:rPr>
          <w:i/>
          <w:iCs/>
        </w:rPr>
        <w:t xml:space="preserve">24</w:t>
      </w:r>
      <w:r>
        <w:t xml:space="preserve">(4), 345–364.</w:t>
      </w:r>
      <w:r>
        <w:t xml:space="preserve"> </w:t>
      </w:r>
      <w:hyperlink r:id="rId144">
        <w:r>
          <w:rPr>
            <w:rStyle w:val="Hipercze"/>
          </w:rPr>
          <w:t xml:space="preserve">https://doi.org/10.1108/JED-08-2022-0136</w:t>
        </w:r>
      </w:hyperlink>
    </w:p>
    <w:bookmarkEnd w:id="145"/>
    <w:bookmarkStart w:id="147" w:name="ref-zengBankNonPerformingLoans2012a"/>
    <w:p>
      <w:pPr>
        <w:pStyle w:val="Bibliografia"/>
      </w:pPr>
      <w:r>
        <w:t xml:space="preserve">Zeng, S. (2012). Bank</w:t>
      </w:r>
      <w:r>
        <w:t xml:space="preserve"> </w:t>
      </w:r>
      <w:r>
        <w:t xml:space="preserve">Non-Performing Loans</w:t>
      </w:r>
      <w:r>
        <w:t xml:space="preserve"> </w:t>
      </w:r>
      <w:r>
        <w:t xml:space="preserve">(</w:t>
      </w:r>
      <w:r>
        <w:t xml:space="preserve">NPLS</w:t>
      </w:r>
      <w:r>
        <w:t xml:space="preserve">):</w:t>
      </w:r>
      <w:r>
        <w:t xml:space="preserve"> </w:t>
      </w:r>
      <w:r>
        <w:t xml:space="preserve">A Dynamic Model</w:t>
      </w:r>
      <w:r>
        <w:t xml:space="preserve"> </w:t>
      </w:r>
      <w:r>
        <w:t xml:space="preserve">and</w:t>
      </w:r>
      <w:r>
        <w:t xml:space="preserve"> </w:t>
      </w:r>
      <w:r>
        <w:t xml:space="preserve">Analysis</w:t>
      </w:r>
      <w:r>
        <w:t xml:space="preserve"> </w:t>
      </w:r>
      <w:r>
        <w:t xml:space="preserve">in</w:t>
      </w:r>
      <w:r>
        <w:t xml:space="preserve"> </w:t>
      </w:r>
      <w:r>
        <w:t xml:space="preserve">China</w:t>
      </w:r>
      <w:r>
        <w:t xml:space="preserve">.</w:t>
      </w:r>
      <w:r>
        <w:t xml:space="preserve"> </w:t>
      </w:r>
      <w:r>
        <w:rPr>
          <w:i/>
          <w:iCs/>
        </w:rPr>
        <w:t xml:space="preserve">Modern Economy</w:t>
      </w:r>
      <w:r>
        <w:t xml:space="preserve">,</w:t>
      </w:r>
      <w:r>
        <w:t xml:space="preserve"> </w:t>
      </w:r>
      <w:r>
        <w:rPr>
          <w:i/>
          <w:iCs/>
        </w:rPr>
        <w:t xml:space="preserve">03</w:t>
      </w:r>
      <w:r>
        <w:t xml:space="preserve">(01), 100–110.</w:t>
      </w:r>
      <w:r>
        <w:t xml:space="preserve"> </w:t>
      </w:r>
      <w:hyperlink r:id="rId146">
        <w:r>
          <w:rPr>
            <w:rStyle w:val="Hipercze"/>
          </w:rPr>
          <w:t xml:space="preserve">https://doi.org/10.4236/me.2012.31014</w:t>
        </w:r>
      </w:hyperlink>
    </w:p>
    <w:bookmarkEnd w:id="147"/>
    <w:bookmarkStart w:id="149" w:name="X45a626f56c35aaf4a481a036c3004037bc692c2"/>
    <w:p>
      <w:pPr>
        <w:pStyle w:val="Bibliografia"/>
      </w:pPr>
      <w:r>
        <w:t xml:space="preserve">Zhou. (2021). Corporate social responsibility and bank financial performance in</w:t>
      </w:r>
      <w:r>
        <w:t xml:space="preserve"> </w:t>
      </w:r>
      <w:r>
        <w:t xml:space="preserve">China</w:t>
      </w:r>
      <w:r>
        <w:t xml:space="preserve">:</w:t>
      </w:r>
      <w:r>
        <w:t xml:space="preserve"> </w:t>
      </w:r>
      <w:r>
        <w:t xml:space="preserve">The</w:t>
      </w:r>
      <w:r>
        <w:t xml:space="preserve"> </w:t>
      </w:r>
      <w:r>
        <w:t xml:space="preserve">moderating role of green credit.</w:t>
      </w:r>
      <w:r>
        <w:t xml:space="preserve"> </w:t>
      </w:r>
      <w:r>
        <w:rPr>
          <w:i/>
          <w:iCs/>
        </w:rPr>
        <w:t xml:space="preserve">Energy Economics</w:t>
      </w:r>
      <w:r>
        <w:t xml:space="preserve">, (97).</w:t>
      </w:r>
      <w:r>
        <w:t xml:space="preserve"> </w:t>
      </w:r>
      <w:hyperlink r:id="rId148">
        <w:r>
          <w:rPr>
            <w:rStyle w:val="Hipercze"/>
          </w:rPr>
          <w:t xml:space="preserve">https://doi.org/10.1016/j.eneco.2021.105190</w:t>
        </w:r>
      </w:hyperlink>
    </w:p>
    <w:bookmarkEnd w:id="149"/>
    <w:bookmarkEnd w:id="150"/>
    <w:bookmarkEnd w:id="151"/>
    <w:sectPr w:rsidR="0045023D" w:rsidSect="00341030">
      <w:headerReference r:id="rId9" w:type="even"/>
      <w:headerReference r:id="rId11" w:type="default"/>
      <w:footerReference r:id="rId14" w:type="even"/>
      <w:footerReference r:id="rId13" w:type="default"/>
      <w:headerReference r:id="rId10" w:type="first"/>
      <w:footerReference r:id="rId12" w:type="first"/>
      <w:pgSz w:h="15840" w:w="12240"/>
      <w:pgMar w:bottom="1417" w:footer="708" w:gutter="0" w:header="708" w:left="1417" w:right="1417" w:top="1417"/>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020266630"/>
      <w:docPartObj>
        <w:docPartGallery w:val="Page Numbers (Bottom of Page)"/>
        <w:docPartUnique/>
      </w:docPartObj>
    </w:sdtPr>
    <w:sdtContent>
      <w:p w14:paraId="275C9159" w14:textId="4107D9F9" w:rsidR="00B133CD" w:rsidRDefault="00B133CD" w:rsidP="008B466F">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0055361" w14:textId="77777777" w:rsidR="00B133CD" w:rsidRDefault="00B133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091193374"/>
      <w:docPartObj>
        <w:docPartGallery w:val="Page Numbers (Bottom of Page)"/>
        <w:docPartUnique/>
      </w:docPartObj>
    </w:sdtPr>
    <w:sdtContent>
      <w:p w14:paraId="2EC0ABF9" w14:textId="23CCDA40" w:rsidR="00B133CD" w:rsidRDefault="00B133CD" w:rsidP="008B466F">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sidR="00F7611F">
          <w:rPr>
            <w:rStyle w:val="Numerstrony"/>
          </w:rPr>
          <w:t xml:space="preserve"> </w:t>
        </w:r>
        <w:r>
          <w:rPr>
            <w:rStyle w:val="Numerstrony"/>
          </w:rPr>
          <w:t>of</w:t>
        </w:r>
        <w:r w:rsidR="00F7611F">
          <w:rPr>
            <w:rStyle w:val="Numerstrony"/>
          </w:rPr>
          <w:t xml:space="preserve"> </w:t>
        </w:r>
        <w:r>
          <w:rPr>
            <w:rStyle w:val="Numerstrony"/>
          </w:rPr>
          <w:t xml:space="preserve"> </w:t>
        </w:r>
        <w:r>
          <w:rPr>
            <w:rStyle w:val="Numerstrony"/>
          </w:rPr>
          <w:fldChar w:fldCharType="begin"/>
        </w:r>
        <w:r>
          <w:rPr>
            <w:rStyle w:val="Numerstrony"/>
          </w:rPr>
          <w:instrText xml:space="preserve"> NUMPAGES  \* MERGEFORMAT </w:instrText>
        </w:r>
        <w:r>
          <w:rPr>
            <w:rStyle w:val="Numerstrony"/>
          </w:rPr>
          <w:fldChar w:fldCharType="separate"/>
        </w:r>
        <w:r>
          <w:rPr>
            <w:rStyle w:val="Numerstrony"/>
            <w:noProof/>
          </w:rPr>
          <w:t>1</w:t>
        </w:r>
        <w:r>
          <w:rPr>
            <w:rStyle w:val="Numerstrony"/>
          </w:rPr>
          <w:fldChar w:fldCharType="end"/>
        </w:r>
      </w:p>
    </w:sdtContent>
  </w:sdt>
  <w:p w14:paraId="3411ED12" w14:textId="77777777" w:rsidR="00B133CD" w:rsidRDefault="00B133C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3D0F" w14:textId="77777777" w:rsidR="00F7611F" w:rsidRDefault="00F7611F">
    <w:pPr>
      <w:pStyle w:val="Stopka"/>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3F65" w14:textId="77777777" w:rsidR="00F7611F" w:rsidRDefault="00F761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0539" w14:textId="77777777" w:rsidR="00F7611F" w:rsidRDefault="00F761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1D3D" w14:textId="77777777" w:rsidR="00F7611F" w:rsidRDefault="00F7611F">
    <w:pPr>
      <w:pStyle w:val="Nagwek"/>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170CD2DE"/>
    <w:multiLevelType w:val="multilevel"/>
    <w:tmpl w:val="03D6842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1051226697" w:numId="1">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8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45023D"/>
    <w:rsid w:val="00017A9B"/>
    <w:rsid w:val="00145F9A"/>
    <w:rsid w:val="001F4A2D"/>
    <w:rsid w:val="0020136F"/>
    <w:rsid w:val="002877D5"/>
    <w:rsid w:val="002E62A1"/>
    <w:rsid w:val="00341030"/>
    <w:rsid w:val="0045023D"/>
    <w:rsid w:val="00471731"/>
    <w:rsid w:val="004A1E59"/>
    <w:rsid w:val="0064067B"/>
    <w:rsid w:val="00706B43"/>
    <w:rsid w:val="008351C7"/>
    <w:rsid w:val="0094624C"/>
    <w:rsid w:val="009B413E"/>
    <w:rsid w:val="00B133CD"/>
    <w:rsid w:val="00C67901"/>
    <w:rsid w:val="00CF0086"/>
    <w:rsid w:val="00CF0EAA"/>
    <w:rsid w:val="00F7611F"/>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GB"/>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ny" w:type="paragraph">
    <w:name w:val="Normal"/>
    <w:qFormat/>
    <w:rsid w:val="00471731"/>
    <w:pPr>
      <w:jc w:val="both"/>
    </w:pPr>
  </w:style>
  <w:style w:styleId="Nagwek1" w:type="paragraph">
    <w:name w:val="heading 1"/>
    <w:basedOn w:val="Normalny"/>
    <w:next w:val="Tekstpodstawowy"/>
    <w:uiPriority w:val="9"/>
    <w:qFormat/>
    <w:rsid w:val="00CF0086"/>
    <w:pPr>
      <w:keepNext/>
      <w:keepLines/>
      <w:spacing w:after="0" w:before="480"/>
      <w:outlineLvl w:val="0"/>
    </w:pPr>
    <w:rPr>
      <w:rFonts w:cstheme="majorBidi" w:eastAsiaTheme="majorEastAsia"/>
      <w:b/>
      <w:bCs/>
      <w:color w:themeColor="text1" w:val="000000"/>
      <w:sz w:val="32"/>
      <w:szCs w:val="32"/>
    </w:rPr>
  </w:style>
  <w:style w:styleId="Nagwek2" w:type="paragraph">
    <w:name w:val="heading 2"/>
    <w:basedOn w:val="Normalny"/>
    <w:next w:val="Tekstpodstawowy"/>
    <w:autoRedefine/>
    <w:uiPriority w:val="9"/>
    <w:unhideWhenUsed/>
    <w:qFormat/>
    <w:rsid w:val="00CF0086"/>
    <w:pPr>
      <w:keepNext/>
      <w:keepLines/>
      <w:spacing w:after="0" w:before="200"/>
      <w:outlineLvl w:val="1"/>
    </w:pPr>
    <w:rPr>
      <w:rFonts w:cstheme="majorBidi" w:eastAsiaTheme="majorEastAsia"/>
      <w:b/>
      <w:bCs/>
      <w:color w:themeColor="text1" w:val="000000"/>
      <w:sz w:val="28"/>
      <w:szCs w:val="28"/>
    </w:rPr>
  </w:style>
  <w:style w:styleId="Nagwek3" w:type="paragraph">
    <w:name w:val="heading 3"/>
    <w:basedOn w:val="Normalny"/>
    <w:next w:val="Tekstpodstawowy"/>
    <w:autoRedefine/>
    <w:uiPriority w:val="9"/>
    <w:unhideWhenUsed/>
    <w:qFormat/>
    <w:rsid w:val="00CF0086"/>
    <w:pPr>
      <w:keepNext/>
      <w:keepLines/>
      <w:spacing w:after="0" w:before="200"/>
      <w:outlineLvl w:val="2"/>
    </w:pPr>
    <w:rPr>
      <w:rFonts w:cstheme="majorBidi" w:eastAsiaTheme="majorEastAsia"/>
      <w:b/>
      <w:bCs/>
      <w:color w:themeColor="text1" w:val="000000"/>
    </w:rPr>
  </w:style>
  <w:style w:styleId="Nagwek4" w:type="paragraph">
    <w:name w:val="heading 4"/>
    <w:basedOn w:val="Normalny"/>
    <w:next w:val="Tekstpodstawowy"/>
    <w:autoRedefine/>
    <w:uiPriority w:val="9"/>
    <w:unhideWhenUsed/>
    <w:qFormat/>
    <w:rsid w:val="00CF0086"/>
    <w:pPr>
      <w:keepNext/>
      <w:keepLines/>
      <w:spacing w:after="0" w:before="200"/>
      <w:outlineLvl w:val="3"/>
    </w:pPr>
    <w:rPr>
      <w:rFonts w:cstheme="majorBidi" w:eastAsiaTheme="majorEastAsia"/>
      <w:bCs/>
      <w:color w:themeColor="text1" w:val="000000"/>
    </w:rPr>
  </w:style>
  <w:style w:styleId="Nagwek5" w:type="paragraph">
    <w:name w:val="heading 5"/>
    <w:basedOn w:val="Normalny"/>
    <w:next w:val="Tekstpodstawowy"/>
    <w:autoRedefine/>
    <w:uiPriority w:val="9"/>
    <w:unhideWhenUsed/>
    <w:qFormat/>
    <w:rsid w:val="00CF0086"/>
    <w:pPr>
      <w:keepNext/>
      <w:keepLines/>
      <w:spacing w:after="0" w:before="200"/>
      <w:outlineLvl w:val="4"/>
    </w:pPr>
    <w:rPr>
      <w:rFonts w:cstheme="majorBidi" w:eastAsiaTheme="majorEastAsia"/>
      <w:iCs/>
      <w:color w:themeColor="text1" w:val="000000"/>
    </w:rPr>
  </w:style>
  <w:style w:styleId="Nagwek6" w:type="paragraph">
    <w:name w:val="heading 6"/>
    <w:basedOn w:val="Normalny"/>
    <w:next w:val="Tekstpodstawowy"/>
    <w:autoRedefine/>
    <w:uiPriority w:val="9"/>
    <w:unhideWhenUsed/>
    <w:qFormat/>
    <w:rsid w:val="00CF0086"/>
    <w:pPr>
      <w:keepNext/>
      <w:keepLines/>
      <w:spacing w:after="0" w:before="200"/>
      <w:outlineLvl w:val="5"/>
    </w:pPr>
    <w:rPr>
      <w:rFonts w:cstheme="majorBidi" w:eastAsiaTheme="majorEastAsia"/>
      <w:color w:themeColor="text1" w:val="000000"/>
    </w:rPr>
  </w:style>
  <w:style w:styleId="Nagwek7" w:type="paragraph">
    <w:name w:val="heading 7"/>
    <w:basedOn w:val="Normalny"/>
    <w:next w:val="Tekstpodstawowy"/>
    <w:autoRedefine/>
    <w:uiPriority w:val="9"/>
    <w:unhideWhenUsed/>
    <w:qFormat/>
    <w:rsid w:val="00CF0086"/>
    <w:pPr>
      <w:keepNext/>
      <w:keepLines/>
      <w:spacing w:after="0" w:before="200"/>
      <w:outlineLvl w:val="6"/>
    </w:pPr>
    <w:rPr>
      <w:rFonts w:cstheme="majorBidi" w:eastAsiaTheme="majorEastAsia"/>
      <w:color w:themeColor="text1" w:val="000000"/>
    </w:rPr>
  </w:style>
  <w:style w:styleId="Nagwek8" w:type="paragraph">
    <w:name w:val="heading 8"/>
    <w:basedOn w:val="Normalny"/>
    <w:next w:val="Tekstpodstawowy"/>
    <w:autoRedefine/>
    <w:uiPriority w:val="9"/>
    <w:unhideWhenUsed/>
    <w:qFormat/>
    <w:rsid w:val="00CF0086"/>
    <w:pPr>
      <w:keepNext/>
      <w:keepLines/>
      <w:spacing w:after="0" w:before="200"/>
      <w:outlineLvl w:val="7"/>
    </w:pPr>
    <w:rPr>
      <w:rFonts w:cstheme="majorBidi" w:eastAsiaTheme="majorEastAsia"/>
      <w:color w:themeColor="text1" w:val="000000"/>
    </w:rPr>
  </w:style>
  <w:style w:styleId="Nagwek9" w:type="paragraph">
    <w:name w:val="heading 9"/>
    <w:basedOn w:val="Normalny"/>
    <w:next w:val="Tekstpodstawowy"/>
    <w:autoRedefine/>
    <w:uiPriority w:val="9"/>
    <w:unhideWhenUsed/>
    <w:qFormat/>
    <w:rsid w:val="00CF0086"/>
    <w:pPr>
      <w:keepNext/>
      <w:keepLines/>
      <w:spacing w:after="0" w:before="200"/>
      <w:outlineLvl w:val="8"/>
    </w:pPr>
    <w:rPr>
      <w:rFonts w:cstheme="majorBidi" w:eastAsiaTheme="majorEastAsia"/>
      <w:color w:themeColor="text1" w:val="000000"/>
    </w:rPr>
  </w:style>
  <w:style w:default="1" w:styleId="Domylnaczcionkaakapitu" w:type="character">
    <w:name w:val="Default Paragraph Font"/>
    <w:uiPriority w:val="1"/>
    <w:semiHidden/>
    <w:unhideWhenUsed/>
  </w:style>
  <w:style w:default="1" w:styleId="Standardowy" w:type="table">
    <w:name w:val="Normal Table"/>
    <w:uiPriority w:val="99"/>
    <w:semiHidden/>
    <w:unhideWhenUsed/>
    <w:tblPr>
      <w:tblInd w:type="dxa" w:w="0"/>
      <w:tblCellMar>
        <w:top w:type="dxa" w:w="0"/>
        <w:left w:type="dxa" w:w="108"/>
        <w:bottom w:type="dxa" w:w="0"/>
        <w:right w:type="dxa" w:w="108"/>
      </w:tblCellMar>
    </w:tblPr>
  </w:style>
  <w:style w:default="1" w:styleId="Bezlisty" w:type="numbering">
    <w:name w:val="No List"/>
    <w:uiPriority w:val="99"/>
    <w:semiHidden/>
    <w:unhideWhenUsed/>
  </w:style>
  <w:style w:styleId="Tekstpodstawowy" w:type="paragraph">
    <w:name w:val="Body Text"/>
    <w:basedOn w:val="Normalny"/>
    <w:qFormat/>
    <w:pPr>
      <w:spacing w:after="180" w:before="180"/>
    </w:pPr>
  </w:style>
  <w:style w:customStyle="1" w:styleId="FirstParagraph" w:type="paragraph">
    <w:name w:val="First Paragraph"/>
    <w:basedOn w:val="Tekstpodstawowy"/>
    <w:next w:val="Tekstpodstawowy"/>
    <w:autoRedefine/>
    <w:qFormat/>
    <w:rsid w:val="00471731"/>
  </w:style>
  <w:style w:customStyle="1" w:styleId="Compact" w:type="paragraph">
    <w:name w:val="Compact"/>
    <w:basedOn w:val="Tekstpodstawowy"/>
    <w:qFormat/>
    <w:pPr>
      <w:spacing w:after="36" w:before="36"/>
    </w:pPr>
  </w:style>
  <w:style w:styleId="Tytu" w:type="paragraph">
    <w:name w:val="Title"/>
    <w:basedOn w:val="Normalny"/>
    <w:next w:val="Tekstpodstawowy"/>
    <w:autoRedefine/>
    <w:qFormat/>
    <w:rsid w:val="00CF0086"/>
    <w:pPr>
      <w:keepNext/>
      <w:keepLines/>
      <w:spacing w:after="240" w:before="480"/>
      <w:jc w:val="center"/>
    </w:pPr>
    <w:rPr>
      <w:rFonts w:cstheme="majorBidi" w:eastAsiaTheme="majorEastAsia"/>
      <w:b/>
      <w:bCs/>
      <w:color w:themeColor="text1" w:val="000000"/>
      <w:sz w:val="36"/>
      <w:szCs w:val="36"/>
    </w:rPr>
  </w:style>
  <w:style w:styleId="Podtytu" w:type="paragraph">
    <w:name w:val="Subtitle"/>
    <w:basedOn w:val="Tytu"/>
    <w:next w:val="Tekstpodstawowy"/>
    <w:qFormat/>
    <w:pPr>
      <w:spacing w:before="240"/>
    </w:pPr>
    <w:rPr>
      <w:sz w:val="30"/>
      <w:szCs w:val="30"/>
    </w:rPr>
  </w:style>
  <w:style w:customStyle="1" w:styleId="Author" w:type="paragraph">
    <w:name w:val="Author"/>
    <w:next w:val="Tekstpodstawowy"/>
    <w:autoRedefine/>
    <w:qFormat/>
    <w:rsid w:val="002E62A1"/>
    <w:pPr>
      <w:keepNext/>
      <w:keepLines/>
      <w:jc w:val="center"/>
    </w:pPr>
    <w:rPr>
      <w:i/>
    </w:rPr>
  </w:style>
  <w:style w:styleId="Data" w:type="paragraph">
    <w:name w:val="Date"/>
    <w:next w:val="Tekstpodstawowy"/>
    <w:qFormat/>
    <w:pPr>
      <w:keepNext/>
      <w:keepLines/>
      <w:jc w:val="center"/>
    </w:pPr>
  </w:style>
  <w:style w:customStyle="1" w:styleId="AbstractTitle" w:type="paragraph">
    <w:name w:val="Abstract Title"/>
    <w:basedOn w:val="Normalny"/>
    <w:next w:val="Abstract"/>
    <w:qFormat/>
    <w:rsid w:val="00CF0086"/>
    <w:pPr>
      <w:keepNext/>
      <w:keepLines/>
      <w:spacing w:after="0" w:before="300"/>
      <w:jc w:val="center"/>
    </w:pPr>
    <w:rPr>
      <w:b/>
      <w:color w:themeColor="text1" w:val="000000"/>
      <w:sz w:val="20"/>
      <w:szCs w:val="20"/>
    </w:rPr>
  </w:style>
  <w:style w:customStyle="1" w:styleId="Abstract" w:type="paragraph">
    <w:name w:val="Abstract"/>
    <w:basedOn w:val="Normalny"/>
    <w:next w:val="Tekstpodstawowy"/>
    <w:qFormat/>
    <w:pPr>
      <w:keepNext/>
      <w:keepLines/>
      <w:spacing w:after="300" w:before="100"/>
    </w:pPr>
    <w:rPr>
      <w:sz w:val="20"/>
      <w:szCs w:val="20"/>
    </w:rPr>
  </w:style>
  <w:style w:styleId="Bibliografia" w:type="paragraph">
    <w:name w:val="Bibliography"/>
    <w:basedOn w:val="Normalny"/>
    <w:qFormat/>
  </w:style>
  <w:style w:styleId="Tekstblokowy" w:type="paragraph">
    <w:name w:val="Block Text"/>
    <w:basedOn w:val="Tekstpodstawowy"/>
    <w:next w:val="Tekstpodstawowy"/>
    <w:uiPriority w:val="9"/>
    <w:unhideWhenUsed/>
    <w:qFormat/>
    <w:pPr>
      <w:spacing w:after="100" w:before="100"/>
      <w:ind w:left="480" w:right="480"/>
    </w:pPr>
  </w:style>
  <w:style w:styleId="Tekstprzypisudolnego" w:type="paragraph">
    <w:name w:val="footnote text"/>
    <w:basedOn w:val="Normalny"/>
    <w:uiPriority w:val="9"/>
    <w:unhideWhenUsed/>
    <w:qFormat/>
  </w:style>
  <w:style w:customStyle="1" w:styleId="FootnoteBlockText" w:type="paragraph">
    <w:name w:val="Footnote Block 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ny"/>
    <w:next w:val="Definition"/>
    <w:pPr>
      <w:keepNext/>
      <w:keepLines/>
      <w:spacing w:after="0"/>
    </w:pPr>
    <w:rPr>
      <w:b/>
    </w:rPr>
  </w:style>
  <w:style w:customStyle="1" w:styleId="Definition" w:type="paragraph">
    <w:name w:val="Definition"/>
    <w:basedOn w:val="Normalny"/>
  </w:style>
  <w:style w:styleId="Legenda" w:type="paragraph">
    <w:name w:val="caption"/>
    <w:basedOn w:val="Normalny"/>
    <w:link w:val="LegendaZnak"/>
    <w:pPr>
      <w:spacing w:after="120"/>
    </w:pPr>
    <w:rPr>
      <w:i/>
    </w:rPr>
  </w:style>
  <w:style w:customStyle="1" w:styleId="TableCaption" w:type="paragraph">
    <w:name w:val="Table Caption"/>
    <w:basedOn w:val="Legenda"/>
    <w:pPr>
      <w:keepNext/>
    </w:pPr>
  </w:style>
  <w:style w:customStyle="1" w:styleId="ImageCaption" w:type="paragraph">
    <w:name w:val="Image Caption"/>
    <w:basedOn w:val="Legenda"/>
  </w:style>
  <w:style w:customStyle="1" w:styleId="Figure" w:type="paragraph">
    <w:name w:val="Figure"/>
    <w:basedOn w:val="Normalny"/>
  </w:style>
  <w:style w:customStyle="1" w:styleId="CaptionedFigure" w:type="paragraph">
    <w:name w:val="Captioned Figure"/>
    <w:basedOn w:val="Figure"/>
    <w:pPr>
      <w:keepNext/>
    </w:pPr>
  </w:style>
  <w:style w:customStyle="1" w:styleId="LegendaZnak" w:type="character">
    <w:name w:val="Legenda Znak"/>
    <w:basedOn w:val="Domylnaczcionkaakapitu"/>
    <w:link w:val="Legenda"/>
  </w:style>
  <w:style w:customStyle="1" w:styleId="VerbatimChar" w:type="character">
    <w:name w:val="Verbatim Char"/>
    <w:basedOn w:val="LegendaZnak"/>
    <w:rPr>
      <w:rFonts w:ascii="Consolas" w:hAnsi="Consolas"/>
      <w:sz w:val="22"/>
    </w:rPr>
  </w:style>
  <w:style w:customStyle="1" w:styleId="SectionNumber" w:type="character">
    <w:name w:val="Section Number"/>
    <w:basedOn w:val="LegendaZnak"/>
  </w:style>
  <w:style w:styleId="Odwoanieprzypisudolnego" w:type="character">
    <w:name w:val="footnote reference"/>
    <w:basedOn w:val="LegendaZnak"/>
    <w:rPr>
      <w:vertAlign w:val="superscript"/>
    </w:rPr>
  </w:style>
  <w:style w:styleId="Hipercze" w:type="character">
    <w:name w:val="Hyperlink"/>
    <w:basedOn w:val="LegendaZnak"/>
    <w:rPr>
      <w:color w:themeColor="accent1" w:val="156082"/>
    </w:rPr>
  </w:style>
  <w:style w:styleId="Nagwekspisutreci" w:type="paragraph">
    <w:name w:val="TOC Heading"/>
    <w:basedOn w:val="Nagwek1"/>
    <w:next w:val="Tekstpodstawowy"/>
    <w:uiPriority w:val="39"/>
    <w:unhideWhenUsed/>
    <w:qFormat/>
    <w:rsid w:val="00CF0086"/>
    <w:pPr>
      <w:spacing w:before="240" w:line="259" w:lineRule="auto"/>
      <w:outlineLvl w:val="9"/>
    </w:pPr>
    <w:rPr>
      <w:b w:val="0"/>
      <w:bCs w:val="0"/>
    </w:rPr>
  </w:style>
  <w:style w:styleId="Stopka" w:type="paragraph">
    <w:name w:val="footer"/>
    <w:basedOn w:val="Normalny"/>
    <w:link w:val="StopkaZnak"/>
    <w:rsid w:val="00B133CD"/>
    <w:pPr>
      <w:tabs>
        <w:tab w:pos="4536" w:val="center"/>
        <w:tab w:pos="9072" w:val="right"/>
      </w:tabs>
      <w:spacing w:after="0"/>
    </w:pPr>
  </w:style>
  <w:style w:customStyle="1" w:styleId="StopkaZnak" w:type="character">
    <w:name w:val="Stopka Znak"/>
    <w:basedOn w:val="Domylnaczcionkaakapitu"/>
    <w:link w:val="Stopka"/>
    <w:rsid w:val="00B133CD"/>
  </w:style>
  <w:style w:styleId="Numerstrony" w:type="character">
    <w:name w:val="page number"/>
    <w:basedOn w:val="Domylnaczcionkaakapitu"/>
    <w:rsid w:val="00B133CD"/>
  </w:style>
  <w:style w:styleId="Nagwek" w:type="paragraph">
    <w:name w:val="header"/>
    <w:basedOn w:val="Normalny"/>
    <w:link w:val="NagwekZnak"/>
    <w:rsid w:val="00B133CD"/>
    <w:pPr>
      <w:tabs>
        <w:tab w:pos="4536" w:val="center"/>
        <w:tab w:pos="9072" w:val="right"/>
      </w:tabs>
      <w:spacing w:after="0"/>
    </w:pPr>
  </w:style>
  <w:style w:customStyle="1" w:styleId="NagwekZnak" w:type="character">
    <w:name w:val="Nagłówek Znak"/>
    <w:basedOn w:val="Domylnaczcionkaakapitu"/>
    <w:link w:val="Nagwek"/>
    <w:rsid w:val="00B133CD"/>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image" Id="rId27" Target="media/rId27.svg" /><Relationship Type="http://schemas.openxmlformats.org/officeDocument/2006/relationships/image" Id="rId32" Target="media/rId32.svg" /><Relationship Type="http://schemas.openxmlformats.org/officeDocument/2006/relationships/image" Id="rId37" Target="media/rId37.svg" /><Relationship Type="http://schemas.openxmlformats.org/officeDocument/2006/relationships/image" Id="rId52" Target="media/rId52.svg" /><Relationship Type="http://schemas.openxmlformats.org/officeDocument/2006/relationships/image" Id="rId62" Target="media/rId62.sv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image" Id="rId40" Target="media/rId40.png" /><Relationship Type="http://schemas.openxmlformats.org/officeDocument/2006/relationships/image" Id="rId55" Target="media/rId55.png" /><Relationship Type="http://schemas.openxmlformats.org/officeDocument/2006/relationships/image" Id="rId65" Target="media/rId65.png" /><Relationship Type="http://schemas.openxmlformats.org/officeDocument/2006/relationships/hyperlink" Id="rId23" Target="https://dbm.stat.gov.pl" TargetMode="External" /><Relationship Type="http://schemas.openxmlformats.org/officeDocument/2006/relationships/hyperlink" Id="rId134" Target="https://doi.org/10.1002/csr.1964" TargetMode="External" /><Relationship Type="http://schemas.openxmlformats.org/officeDocument/2006/relationships/hyperlink" Id="rId107" Target="https://doi.org/10.1007/s11356-022-23742-x" TargetMode="External" /><Relationship Type="http://schemas.openxmlformats.org/officeDocument/2006/relationships/hyperlink" Id="rId148" Target="https://doi.org/10.1016/j.eneco.2021.105190" TargetMode="External" /><Relationship Type="http://schemas.openxmlformats.org/officeDocument/2006/relationships/hyperlink" Id="rId87" Target="https://doi.org/10.1016/j.frl.2022.103411" TargetMode="External" /><Relationship Type="http://schemas.openxmlformats.org/officeDocument/2006/relationships/hyperlink" Id="rId116" Target="https://doi.org/10.1016/j.frl.2023.103859" TargetMode="External" /><Relationship Type="http://schemas.openxmlformats.org/officeDocument/2006/relationships/hyperlink" Id="rId83" Target="https://doi.org/10.1016/j.frl.2023.104719" TargetMode="External" /><Relationship Type="http://schemas.openxmlformats.org/officeDocument/2006/relationships/hyperlink" Id="rId132" Target="https://doi.org/10.1016/j.heliyon.2024.e30557" TargetMode="External" /><Relationship Type="http://schemas.openxmlformats.org/officeDocument/2006/relationships/hyperlink" Id="rId75" Target="https://doi.org/10.1016/j.intfin.2020.101277" TargetMode="External" /><Relationship Type="http://schemas.openxmlformats.org/officeDocument/2006/relationships/hyperlink" Id="rId138" Target="https://doi.org/10.1016/j.iref.2018.02.011" TargetMode="External" /><Relationship Type="http://schemas.openxmlformats.org/officeDocument/2006/relationships/hyperlink" Id="rId142" Target="https://doi.org/10.1016/j.jbankfin.2013.04.023" TargetMode="External" /><Relationship Type="http://schemas.openxmlformats.org/officeDocument/2006/relationships/hyperlink" Id="rId91" Target="https://doi.org/10.1016/j.jfs.2023.101206" TargetMode="External" /><Relationship Type="http://schemas.openxmlformats.org/officeDocument/2006/relationships/hyperlink" Id="rId114" Target="https://doi.org/10.1016/j.ribaf.2023.101985" TargetMode="External" /><Relationship Type="http://schemas.openxmlformats.org/officeDocument/2006/relationships/hyperlink" Id="rId85" Target="https://doi.org/10.1080/1351847X.2021.1964556" TargetMode="External" /><Relationship Type="http://schemas.openxmlformats.org/officeDocument/2006/relationships/hyperlink" Id="rId144" Target="https://doi.org/10.1108/JED-08-2022-0136" TargetMode="External" /><Relationship Type="http://schemas.openxmlformats.org/officeDocument/2006/relationships/hyperlink" Id="rId126" Target="https://doi.org/10.1108/JRF-07-2017-0112" TargetMode="External" /><Relationship Type="http://schemas.openxmlformats.org/officeDocument/2006/relationships/hyperlink" Id="rId128" Target="https://doi.org/10.15611/aoe.2021.2.06" TargetMode="External" /><Relationship Type="http://schemas.openxmlformats.org/officeDocument/2006/relationships/hyperlink" Id="rId89" Target="https://doi.org/10.18559/ebr.2020.1.2" TargetMode="External" /><Relationship Type="http://schemas.openxmlformats.org/officeDocument/2006/relationships/hyperlink" Id="rId104" Target="https://doi.org/10.21098/bemp.v17i2.51" TargetMode="External" /><Relationship Type="http://schemas.openxmlformats.org/officeDocument/2006/relationships/hyperlink" Id="rId73" Target="https://doi.org/10.21098/jimf.v8i1.1428" TargetMode="External" /><Relationship Type="http://schemas.openxmlformats.org/officeDocument/2006/relationships/hyperlink" Id="rId109" Target="https://doi.org/10.2139/ssrn.2575912" TargetMode="External" /><Relationship Type="http://schemas.openxmlformats.org/officeDocument/2006/relationships/hyperlink" Id="rId93" Target="https://doi.org/10.2139/ssrn.3628261" TargetMode="External" /><Relationship Type="http://schemas.openxmlformats.org/officeDocument/2006/relationships/hyperlink" Id="rId77" Target="https://doi.org/10.2139/ssrn.3807685" TargetMode="External" /><Relationship Type="http://schemas.openxmlformats.org/officeDocument/2006/relationships/hyperlink" Id="rId71" Target="https://doi.org/10.2139/ssrn.4058477" TargetMode="External" /><Relationship Type="http://schemas.openxmlformats.org/officeDocument/2006/relationships/hyperlink" Id="rId118" Target="https://doi.org/10.2298/PAN1402193M" TargetMode="External" /><Relationship Type="http://schemas.openxmlformats.org/officeDocument/2006/relationships/hyperlink" Id="rId97" Target="https://doi.org/10.2307/258887" TargetMode="External" /><Relationship Type="http://schemas.openxmlformats.org/officeDocument/2006/relationships/hyperlink" Id="rId81" Target="https://doi.org/10.26354/bb.4.1.78.2020" TargetMode="External" /><Relationship Type="http://schemas.openxmlformats.org/officeDocument/2006/relationships/hyperlink" Id="rId140" Target="https://doi.org/10.33119/GN/100880" TargetMode="External" /><Relationship Type="http://schemas.openxmlformats.org/officeDocument/2006/relationships/hyperlink" Id="rId146" Target="https://doi.org/10.4236/me.2012.31014" TargetMode="External" /><Relationship Type="http://schemas.openxmlformats.org/officeDocument/2006/relationships/hyperlink" Id="rId79" Target="https://doi.org/DOI: 10.1007/s11079-015-9358-8" TargetMode="External" /><Relationship Type="http://schemas.openxmlformats.org/officeDocument/2006/relationships/hyperlink" Id="rId111" Target="https://ideas.repec.org//a/bic/journl/v17y2017i1p25-44.html" TargetMode="External" /><Relationship Type="http://schemas.openxmlformats.org/officeDocument/2006/relationships/hyperlink" Id="rId95" Target="https://ideas.repec.org//a/eee/finlet/v18y2016icp116-119.html" TargetMode="External" /><Relationship Type="http://schemas.openxmlformats.org/officeDocument/2006/relationships/hyperlink" Id="rId130" Target="https://ideas.repec.org//a/eee/phsmap/v520y2019icp481-488.html" TargetMode="External" /><Relationship Type="http://schemas.openxmlformats.org/officeDocument/2006/relationships/hyperlink" Id="rId122" Target="https://journals.rcmss.com/index.php/ijcbem/article/view/195" TargetMode="External" /><Relationship Type="http://schemas.openxmlformats.org/officeDocument/2006/relationships/hyperlink" Id="rId102" Target="https://www.eba.europa.eu/sites/default/documents/files/document_library/Publications/Draft%20Technical%20Standards/2022/1026171/EBA%20draft%20ITS%20on%20Pillar%203%20disclosures%20on%20ESG%20risks.pdf" TargetMode="External" /><Relationship Type="http://schemas.openxmlformats.org/officeDocument/2006/relationships/hyperlink" Id="rId100" Target="https://www.eba.europa.eu/sites/default/documents/files/document_library/Publications/Reports/2021/1015656/EBA%20Report%20on%20ESG%20risks%20management%20and%20supervision.pdf" TargetMode="External" /><Relationship Type="http://schemas.openxmlformats.org/officeDocument/2006/relationships/hyperlink" Id="rId120" Target="https://www.econjournals.com/index.php/ijefi/article/view/517" TargetMode="External" /><Relationship Type="http://schemas.openxmlformats.org/officeDocument/2006/relationships/hyperlink" Id="rId136" Target="https://www.iiste.org/Journals/index.php/RJFA/article/view/35707" TargetMode="External" /><Relationship Type="http://schemas.openxmlformats.org/officeDocument/2006/relationships/hyperlink" Id="rId124" Target="https://www.oecd.org/en/publications/2023/09/g20-oecd-principles-of-corporate-governance-2023_60836fcb.html" TargetMode="External" /></Relationships>
</file>

<file path=word/_rels/footnotes.xml.rels><?xml version="1.0" encoding="UTF-8"?><Relationships xmlns="http://schemas.openxmlformats.org/package/2006/relationships"><Relationship Type="http://schemas.openxmlformats.org/officeDocument/2006/relationships/hyperlink" Id="rId23" Target="https://dbm.stat.gov.pl" TargetMode="External" /><Relationship Type="http://schemas.openxmlformats.org/officeDocument/2006/relationships/hyperlink" Id="rId134" Target="https://doi.org/10.1002/csr.1964" TargetMode="External" /><Relationship Type="http://schemas.openxmlformats.org/officeDocument/2006/relationships/hyperlink" Id="rId107" Target="https://doi.org/10.1007/s11356-022-23742-x" TargetMode="External" /><Relationship Type="http://schemas.openxmlformats.org/officeDocument/2006/relationships/hyperlink" Id="rId148" Target="https://doi.org/10.1016/j.eneco.2021.105190" TargetMode="External" /><Relationship Type="http://schemas.openxmlformats.org/officeDocument/2006/relationships/hyperlink" Id="rId87" Target="https://doi.org/10.1016/j.frl.2022.103411" TargetMode="External" /><Relationship Type="http://schemas.openxmlformats.org/officeDocument/2006/relationships/hyperlink" Id="rId116" Target="https://doi.org/10.1016/j.frl.2023.103859" TargetMode="External" /><Relationship Type="http://schemas.openxmlformats.org/officeDocument/2006/relationships/hyperlink" Id="rId83" Target="https://doi.org/10.1016/j.frl.2023.104719" TargetMode="External" /><Relationship Type="http://schemas.openxmlformats.org/officeDocument/2006/relationships/hyperlink" Id="rId132" Target="https://doi.org/10.1016/j.heliyon.2024.e30557" TargetMode="External" /><Relationship Type="http://schemas.openxmlformats.org/officeDocument/2006/relationships/hyperlink" Id="rId75" Target="https://doi.org/10.1016/j.intfin.2020.101277" TargetMode="External" /><Relationship Type="http://schemas.openxmlformats.org/officeDocument/2006/relationships/hyperlink" Id="rId138" Target="https://doi.org/10.1016/j.iref.2018.02.011" TargetMode="External" /><Relationship Type="http://schemas.openxmlformats.org/officeDocument/2006/relationships/hyperlink" Id="rId142" Target="https://doi.org/10.1016/j.jbankfin.2013.04.023" TargetMode="External" /><Relationship Type="http://schemas.openxmlformats.org/officeDocument/2006/relationships/hyperlink" Id="rId91" Target="https://doi.org/10.1016/j.jfs.2023.101206" TargetMode="External" /><Relationship Type="http://schemas.openxmlformats.org/officeDocument/2006/relationships/hyperlink" Id="rId114" Target="https://doi.org/10.1016/j.ribaf.2023.101985" TargetMode="External" /><Relationship Type="http://schemas.openxmlformats.org/officeDocument/2006/relationships/hyperlink" Id="rId85" Target="https://doi.org/10.1080/1351847X.2021.1964556" TargetMode="External" /><Relationship Type="http://schemas.openxmlformats.org/officeDocument/2006/relationships/hyperlink" Id="rId144" Target="https://doi.org/10.1108/JED-08-2022-0136" TargetMode="External" /><Relationship Type="http://schemas.openxmlformats.org/officeDocument/2006/relationships/hyperlink" Id="rId126" Target="https://doi.org/10.1108/JRF-07-2017-0112" TargetMode="External" /><Relationship Type="http://schemas.openxmlformats.org/officeDocument/2006/relationships/hyperlink" Id="rId128" Target="https://doi.org/10.15611/aoe.2021.2.06" TargetMode="External" /><Relationship Type="http://schemas.openxmlformats.org/officeDocument/2006/relationships/hyperlink" Id="rId89" Target="https://doi.org/10.18559/ebr.2020.1.2" TargetMode="External" /><Relationship Type="http://schemas.openxmlformats.org/officeDocument/2006/relationships/hyperlink" Id="rId104" Target="https://doi.org/10.21098/bemp.v17i2.51" TargetMode="External" /><Relationship Type="http://schemas.openxmlformats.org/officeDocument/2006/relationships/hyperlink" Id="rId73" Target="https://doi.org/10.21098/jimf.v8i1.1428" TargetMode="External" /><Relationship Type="http://schemas.openxmlformats.org/officeDocument/2006/relationships/hyperlink" Id="rId109" Target="https://doi.org/10.2139/ssrn.2575912" TargetMode="External" /><Relationship Type="http://schemas.openxmlformats.org/officeDocument/2006/relationships/hyperlink" Id="rId93" Target="https://doi.org/10.2139/ssrn.3628261" TargetMode="External" /><Relationship Type="http://schemas.openxmlformats.org/officeDocument/2006/relationships/hyperlink" Id="rId77" Target="https://doi.org/10.2139/ssrn.3807685" TargetMode="External" /><Relationship Type="http://schemas.openxmlformats.org/officeDocument/2006/relationships/hyperlink" Id="rId71" Target="https://doi.org/10.2139/ssrn.4058477" TargetMode="External" /><Relationship Type="http://schemas.openxmlformats.org/officeDocument/2006/relationships/hyperlink" Id="rId118" Target="https://doi.org/10.2298/PAN1402193M" TargetMode="External" /><Relationship Type="http://schemas.openxmlformats.org/officeDocument/2006/relationships/hyperlink" Id="rId97" Target="https://doi.org/10.2307/258887" TargetMode="External" /><Relationship Type="http://schemas.openxmlformats.org/officeDocument/2006/relationships/hyperlink" Id="rId81" Target="https://doi.org/10.26354/bb.4.1.78.2020" TargetMode="External" /><Relationship Type="http://schemas.openxmlformats.org/officeDocument/2006/relationships/hyperlink" Id="rId140" Target="https://doi.org/10.33119/GN/100880" TargetMode="External" /><Relationship Type="http://schemas.openxmlformats.org/officeDocument/2006/relationships/hyperlink" Id="rId146" Target="https://doi.org/10.4236/me.2012.31014" TargetMode="External" /><Relationship Type="http://schemas.openxmlformats.org/officeDocument/2006/relationships/hyperlink" Id="rId79" Target="https://doi.org/DOI: 10.1007/s11079-015-9358-8" TargetMode="External" /><Relationship Type="http://schemas.openxmlformats.org/officeDocument/2006/relationships/hyperlink" Id="rId111" Target="https://ideas.repec.org//a/bic/journl/v17y2017i1p25-44.html" TargetMode="External" /><Relationship Type="http://schemas.openxmlformats.org/officeDocument/2006/relationships/hyperlink" Id="rId95" Target="https://ideas.repec.org//a/eee/finlet/v18y2016icp116-119.html" TargetMode="External" /><Relationship Type="http://schemas.openxmlformats.org/officeDocument/2006/relationships/hyperlink" Id="rId130" Target="https://ideas.repec.org//a/eee/phsmap/v520y2019icp481-488.html" TargetMode="External" /><Relationship Type="http://schemas.openxmlformats.org/officeDocument/2006/relationships/hyperlink" Id="rId122" Target="https://journals.rcmss.com/index.php/ijcbem/article/view/195" TargetMode="External" /><Relationship Type="http://schemas.openxmlformats.org/officeDocument/2006/relationships/hyperlink" Id="rId102" Target="https://www.eba.europa.eu/sites/default/documents/files/document_library/Publications/Draft%20Technical%20Standards/2022/1026171/EBA%20draft%20ITS%20on%20Pillar%203%20disclosures%20on%20ESG%20risks.pdf" TargetMode="External" /><Relationship Type="http://schemas.openxmlformats.org/officeDocument/2006/relationships/hyperlink" Id="rId100" Target="https://www.eba.europa.eu/sites/default/documents/files/document_library/Publications/Reports/2021/1015656/EBA%20Report%20on%20ESG%20risks%20management%20and%20supervision.pdf" TargetMode="External" /><Relationship Type="http://schemas.openxmlformats.org/officeDocument/2006/relationships/hyperlink" Id="rId120" Target="https://www.econjournals.com/index.php/ijefi/article/view/517" TargetMode="External" /><Relationship Type="http://schemas.openxmlformats.org/officeDocument/2006/relationships/hyperlink" Id="rId136" Target="https://www.iiste.org/Journals/index.php/RJFA/article/view/35707" TargetMode="External" /><Relationship Type="http://schemas.openxmlformats.org/officeDocument/2006/relationships/hyperlink" Id="rId124" Target="https://www.oecd.org/en/publications/2023/09/g20-oecd-principles-of-corporate-governance-2023_60836fcb.html" TargetMode="External" /></Relationships>
</file>

<file path=word/theme/theme1.xml><?xml version="1.0" encoding="utf-8"?>
<a:theme xmlns:a="http://schemas.openxmlformats.org/drawingml/2006/main" name="Office Them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60</Words>
  <Characters>365</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factors impact on non-performing loans in Poland</dc:title>
  <dc:creator>Edyta Cegielska; Piotr Kuszewski</dc:creator>
  <dc:language>en-GB</dc:language>
  <cp:keywords>non-performing loans, banking, ESG, ESG score</cp:keywords>
  <dcterms:created xsi:type="dcterms:W3CDTF">2024-07-22T21:07:10Z</dcterms:created>
  <dcterms:modified xsi:type="dcterms:W3CDTF">2024-07-22T21:07:10Z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This paper contributes to the discussion on the relationship between a bank’s performance attributed to non-performing loans (NPL) and its ESG (environmental, social, and governance) performance. The study uses two-stage last squares (2SLS) regressions with instrumental variables to identify relationships between non-performing loans ratio and ESG scores, including separate scores for environmental, social, and governance pillars. The research is based on yearly data from the Polish commercial banking sector from 2013 to 2023. The following bank-specific variables were used in the model: ESG score (Environmental Pillar Score, Social Pillar Score, Governance Pillar Score) and ROA, CAPR1 (Capital Adequacy Ratio), NPL, loan dynamics, ALW (Loan Loss Allowance to Total Loans), as well as macroeconomic variables such as GDP, unemployment rate and inflation. We find that a banks’ ESG score is negatively associated with its non-performing loans. Banks with higher ESG scores have lower non-performing loans ratios. The study enriches the ESG literature in the banking sector by concentrating on banks’ loan quality. Moreover, it provides relevant evidence how improving ESG scores goes together with improving the quality of banks’ portfolios.</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ESG-in-banks.bib</vt:lpwstr>
  </property>
  <property fmtid="{D5CDD505-2E9C-101B-9397-08002B2CF9AE}" pid="7" name="by-affiliation">
    <vt:lpwstr/>
  </property>
  <property fmtid="{D5CDD505-2E9C-101B-9397-08002B2CF9AE}" pid="8" name="by-author">
    <vt:lpwstr/>
  </property>
  <property fmtid="{D5CDD505-2E9C-101B-9397-08002B2CF9AE}" pid="9" name="csl">
    <vt:lpwstr>apa-6th-edition.csl</vt:lpwstr>
  </property>
  <property fmtid="{D5CDD505-2E9C-101B-9397-08002B2CF9AE}" pid="10" name="fig-cap-location">
    <vt:lpwstr>top</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tbl-cap-location">
    <vt:lpwstr>top</vt:lpwstr>
  </property>
  <property fmtid="{D5CDD505-2E9C-101B-9397-08002B2CF9AE}" pid="16" name="toc-title">
    <vt:lpwstr>Table of contents</vt:lpwstr>
  </property>
</Properties>
</file>